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7411" w:rsidRDefault="00000000">
      <w:pPr>
        <w:spacing w:after="80"/>
        <w:jc w:val="center"/>
      </w:pPr>
      <w:r>
        <w:rPr>
          <w:noProof/>
        </w:rPr>
        <w:drawing>
          <wp:inline distT="0" distB="0" distL="0" distR="0">
            <wp:extent cx="621792" cy="676123"/>
            <wp:effectExtent l="0" t="0" r="0" b="0"/>
            <wp:docPr id="1" name="Picture 1" descr="Эмблема Донского государственного технического университета" title="Эмблема Д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11" w:rsidRPr="00052455" w:rsidRDefault="00000000">
      <w:pPr>
        <w:spacing w:after="240" w:line="240" w:lineRule="auto"/>
        <w:ind w:left="-144"/>
        <w:jc w:val="center"/>
        <w:rPr>
          <w:lang w:val="ru-RU"/>
        </w:rPr>
      </w:pPr>
      <w:r w:rsidRPr="00052455">
        <w:rPr>
          <w:rFonts w:eastAsia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9E7411" w:rsidRPr="00052455" w:rsidRDefault="00000000">
      <w:pPr>
        <w:spacing w:after="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ФЕДЕРАЛЬНОЕ ГОСУДАРСТВЕННОЕ БЮДЖЕТНОЕ</w:t>
      </w:r>
      <w:r w:rsidRPr="00052455">
        <w:rPr>
          <w:rFonts w:eastAsia="Times New Roman"/>
          <w:sz w:val="28"/>
          <w:lang w:val="ru-RU"/>
        </w:rPr>
        <w:br/>
        <w:t>ОБРАЗОВАТЕЛЬНОЕ УЧРЕЖДЕНИЕ</w:t>
      </w:r>
      <w:r w:rsidRPr="00052455">
        <w:rPr>
          <w:rFonts w:eastAsia="Times New Roman"/>
          <w:sz w:val="28"/>
          <w:lang w:val="ru-RU"/>
        </w:rPr>
        <w:br/>
        <w:t>ВЫСШЕГО ОБРАЗОВАНИЯ</w:t>
      </w:r>
      <w:r w:rsidRPr="00052455">
        <w:rPr>
          <w:rFonts w:eastAsia="Times New Roman"/>
          <w:sz w:val="28"/>
          <w:lang w:val="ru-RU"/>
        </w:rPr>
        <w:br/>
        <w:t>«ДОНСКОЙ ГОСУДАРСТВЕННЫЙ ТЕХНИЧЕСКИЙ УНИВЕРСИТЕТ»</w:t>
      </w:r>
      <w:r w:rsidRPr="00052455">
        <w:rPr>
          <w:rFonts w:eastAsia="Times New Roman"/>
          <w:sz w:val="28"/>
          <w:lang w:val="ru-RU"/>
        </w:rPr>
        <w:br/>
        <w:t>(ДГТУ)</w:t>
      </w:r>
    </w:p>
    <w:p w:rsidR="009E7411" w:rsidRPr="00052455" w:rsidRDefault="00000000">
      <w:pPr>
        <w:spacing w:before="1920" w:after="12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ЛАБОРАТОРНАЯ РАБОТА №2</w:t>
      </w:r>
    </w:p>
    <w:p w:rsidR="009E7411" w:rsidRPr="00052455" w:rsidRDefault="00000000">
      <w:pPr>
        <w:spacing w:after="6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по дисциплине:</w:t>
      </w:r>
    </w:p>
    <w:p w:rsidR="009E7411" w:rsidRPr="00052455" w:rsidRDefault="00000000">
      <w:pPr>
        <w:spacing w:after="44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«Искусственный интеллект в креативных технологиях»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656"/>
        <w:gridCol w:w="4752"/>
      </w:tblGrid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8"/>
              </w:rPr>
              <w:t>Направление</w:t>
            </w:r>
            <w:proofErr w:type="spellEnd"/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09.04.02 Информационные системы и 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Программа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Интеллектуальные медиатехнологии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Номер зачетн. книжки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2602149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Группа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МИК11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Студент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Рясной Владимир Олегович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Преподаватель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Pr="00052455" w:rsidRDefault="00052455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Трубчик</w:t>
            </w:r>
            <w:proofErr w:type="spellEnd"/>
            <w:r>
              <w:rPr>
                <w:rFonts w:eastAsia="Times New Roman"/>
                <w:sz w:val="28"/>
                <w:lang w:val="ru-RU"/>
              </w:rPr>
              <w:t xml:space="preserve"> Ирина Степановна</w:t>
            </w:r>
          </w:p>
        </w:tc>
      </w:tr>
    </w:tbl>
    <w:p w:rsidR="009E7411" w:rsidRDefault="00052455">
      <w:pPr>
        <w:spacing w:before="2360" w:after="80" w:line="240" w:lineRule="auto"/>
        <w:jc w:val="center"/>
      </w:pP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proofErr w:type="spellStart"/>
      <w:r w:rsidR="00000000">
        <w:rPr>
          <w:rFonts w:eastAsia="Times New Roman"/>
          <w:sz w:val="28"/>
        </w:rPr>
        <w:t>Ростов-на-Дону</w:t>
      </w:r>
      <w:proofErr w:type="spellEnd"/>
    </w:p>
    <w:p w:rsidR="009E7411" w:rsidRDefault="00000000">
      <w:pPr>
        <w:spacing w:after="0" w:line="240" w:lineRule="auto"/>
        <w:jc w:val="center"/>
      </w:pPr>
      <w:r>
        <w:rPr>
          <w:rFonts w:eastAsia="Times New Roman"/>
          <w:sz w:val="28"/>
        </w:rPr>
        <w:t>2026</w:t>
      </w:r>
    </w:p>
    <w:p w:rsidR="009E7411" w:rsidRDefault="009E7411">
      <w:pPr>
        <w:sectPr w:rsidR="009E7411">
          <w:pgSz w:w="11909" w:h="16834"/>
          <w:pgMar w:top="1138" w:right="850" w:bottom="1138" w:left="1699" w:header="720" w:footer="720" w:gutter="0"/>
          <w:cols w:space="720"/>
          <w:docGrid w:linePitch="360"/>
        </w:sectPr>
      </w:pP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Лабораторная работа 2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Карточка модели лицензии происхождение данных и анализ рисков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Вариант 13. Аудит исходного манифеста дал 0 ошибок и 1 предупреждение: у item07 отсутствует дата получения. Для него выбран карантин; четыре объекта NonCommercial рассмотрены и приняты с условиями заданного некоммерческого сценария. Подготовлены паспорт набора, карточка генератора и реестр шести рисков с RESULT: PASS.</w:t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 Цель сценарий и предварительные ожидания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Цель — документировать происхождение и условия использования набора и модели, проверить конфликты лицензий, принять решения по находкам и определить меры управления рисками. Вариант 13 соответствует третьему сценарию и первому профилю: 13 = (3 - 1) × 6 + 1. Набор публикуется университетом для открытого учебного некоммерческого использования.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2"/>
        <w:gridCol w:w="4133"/>
      </w:tblGrid>
      <w:tr>
        <w:trPr>
          <w:cantSplit/>
          <w:tblHeader/>
        </w:trPr>
        <w:tc>
          <w:tcPr>
            <w:tcW w:type="dxa" w:w="54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Политика</w:t>
            </w:r>
          </w:p>
        </w:tc>
        <w:tc>
          <w:tcPr>
            <w:tcW w:type="dxa" w:w="41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Коммерческое использование</w:t>
            </w:r>
          </w:p>
        </w:tc>
        <w:tc>
          <w:tcPr>
            <w:tcW w:type="dxa" w:w="41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Нет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Публикация или передача набора</w:t>
            </w:r>
          </w:p>
        </w:tc>
        <w:tc>
          <w:tcPr>
            <w:tcW w:type="dxa" w:w="41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Создание производных</w:t>
            </w:r>
          </w:p>
        </w:tc>
        <w:tc>
          <w:tcPr>
            <w:tcW w:type="dxa" w:w="41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ShareAlike допустимо</w:t>
            </w:r>
          </w:p>
        </w:tc>
        <w:tc>
          <w:tcPr>
            <w:tcW w:type="dxa" w:w="41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Да</w:t>
            </w:r>
          </w:p>
        </w:tc>
      </w:tr>
    </w:tbl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До первого аудита 07.10.2026 в 20:26:51 МСК (UTC+3) прочитаны политика и все 12 записей. Ожидались 0 ошибок и 1 предупреждение R8 у item07; NC у item02, item05, item06, item10 и SA у item06, item10 не должны конфликтовать с политикой. Критерий успеха: решения для всех находок, 7 и 9 заполненных разделов, не менее 5 рисков и 4 категорий с обязательными Data Privacy и Harmful Bias or Homogenization, RESULT: PASS и оговорка о пределах проверки.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Среда и происхождение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ЛР02 выполнена 7 октября 2026 года: CPython 3.12.14, macOS-26.6.2-arm64-arm-64bit; пять учебных скриптов используют только стандартную библиотеку. Манифест содержит вымышленные данные; медиафайлы отсутствуют, хеши относятся к строкам. Паспорт ЛР01 от 24 сентября используется только для карточки генератора, а не как источник дат и среды аудита ЛР02.</w:t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2 Ход работы аудит и решения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Команды выполнены из lab_02. Исходные скрипты преподавателя не изменялись. Автоматические заготовки сохранены отдельно от завершённых документов. При повторении используется временная папка, чтобы сохранить первоначальные результаты и решения.</w:t>
      </w:r>
    </w:p>
    <w:p>
      <w:pPr>
        <w:keepNext w:val="0"/>
        <w:widowControl/>
        <w:spacing w:after="120" w:line="240" w:lineRule="auto"/>
        <w:ind w:firstLine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python src/lab02_make_variant.py --variant 13 --out artifacts/v13</w:t>
      </w:r>
    </w:p>
    <w:p>
      <w:pPr>
        <w:keepNext w:val="0"/>
        <w:widowControl/>
        <w:spacing w:after="120" w:line="240" w:lineRule="auto"/>
        <w:ind w:firstLine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python src/lab02_audit.py --manifest artifacts/v13/manifest.csv</w:t>
        <w:br/>
        <w:t xml:space="preserve">  --policy artifacts/v13/policy.json --out artifacts/v13</w:t>
      </w:r>
    </w:p>
    <w:p>
      <w:pPr>
        <w:keepNext w:val="0"/>
        <w:widowControl/>
        <w:spacing w:after="120" w:line="240" w:lineRule="auto"/>
        <w:ind w:firstLine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python src/lab02_model_card.py</w:t>
        <w:br/>
        <w:t xml:space="preserve">  --passport docs/input/lab01_passport.json</w:t>
        <w:br/>
        <w:t xml:space="preserve">  --out docs/generated/model_card_original.md</w:t>
        <w:br/>
        <w:t xml:space="preserve">  --owner "Рясной Владимир Олегович — составитель карточки</w:t>
        <w:br/>
        <w:t>и ответственный за учебный эксперимент"</w:t>
      </w:r>
    </w:p>
    <w:p>
      <w:pPr>
        <w:keepNext w:val="0"/>
        <w:widowControl/>
        <w:spacing w:after="120" w:line="240" w:lineRule="auto"/>
        <w:ind w:firstLine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python src/lab02_risks.py --template docs/generated/risk_template.csv</w:t>
      </w:r>
    </w:p>
    <w:p>
      <w:pPr>
        <w:keepNext w:val="0"/>
        <w:widowControl/>
        <w:spacing w:after="120" w:line="240" w:lineRule="auto"/>
        <w:ind w:firstLine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python src/lab02_risks.py --csv artifacts/risk_register.csv</w:t>
        <w:br/>
        <w:t xml:space="preserve">  --out artifacts/risk_ranking.md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Многострочные команды приведены как единый вызов. В параметре owner указывается составитель карточки и его роль; точное значение сохранено в журнале. Паспорт и карточка дополнены после генерации; шаблон реестра заполнен шестью рисками.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Сценарий: открытый учебный набор университета, некоммерческое использование, публикация, производные, ShareAlike допустимо.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Найдено: ошибок — 0, предупреждений — 1. Решениями покрыта 1 из 1 находок (100%).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1152"/>
        <w:gridCol w:w="2232"/>
        <w:gridCol w:w="5141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Объект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514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Решение и обоснование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R8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item07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 указана дата получения</w:t>
            </w:r>
          </w:p>
        </w:tc>
        <w:tc>
          <w:tcPr>
            <w:tcW w:type="dxa" w:w="514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Карантин до подтверждения даты поставщиком. Дата остаётся неизвестной; не заполняется по догадке. Объект исключён из кандидата выпуска, исходная запись сохранена.</w:t>
            </w:r>
          </w:p>
        </w:tc>
      </w:tr>
    </w:tbl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Сопоставление с ожиданиями: ожидаемые 0 ошибок и 1 предупреждение R8 у item07 подтверждены. Все четыре NC-объекта рассмотрены в decisions.json и nc_decisions.md. Запрос даты — предложенная мера для реального набора; фактически запрос не отправлялся.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Учебная упрощённая модель условий лицензий; не юридическая консультация.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2016"/>
        <w:gridCol w:w="1728"/>
        <w:gridCol w:w="4853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Объект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Лицензия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Решение</w:t>
            </w:r>
          </w:p>
        </w:tc>
        <w:tc>
          <w:tcPr>
            <w:tcW w:type="dxa" w:w="485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item02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CC-BY-NC-4.0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принять с условиями</w:t>
            </w:r>
          </w:p>
        </w:tc>
        <w:tc>
          <w:tcPr>
            <w:tcW w:type="dxa" w:w="485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NC совместимо с commercial_use=false; сохранить атрибуцию, ссылку на лицензию и отметку изменений.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item05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CC-BY-NC-4.0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принять с условиями</w:t>
            </w:r>
          </w:p>
        </w:tc>
        <w:tc>
          <w:tcPr>
            <w:tcW w:type="dxa" w:w="485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NC совместимо с commercial_use=false; сохранить атрибуцию, ссылку на лицензию и отметку изменений.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item06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CC-BY-NC-SA-4.0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принять с условиями</w:t>
            </w:r>
          </w:p>
        </w:tc>
        <w:tc>
          <w:tcPr>
            <w:tcW w:type="dxa" w:w="485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NC совместимо с commercial_use=false; сохранить атрибуцию, ссылку на лицензию и отметку изменений. Адаптации распространять с NC-SA; share_alike_acceptable=true.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item10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CC-BY-NC-SA-4.0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принять с условиями</w:t>
            </w:r>
          </w:p>
        </w:tc>
        <w:tc>
          <w:tcPr>
            <w:tcW w:type="dxa" w:w="485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NC совместимо с commercial_use=false; сохранить атрибуцию, ссылку на лицензию и отметку изменений. Адаптации распространять с NC-SA; share_alike_acceptable=true.</w:t>
            </w:r>
          </w:p>
        </w:tc>
      </w:tr>
    </w:tbl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Решения условны по заявленным метаданным. Для реальных объектов проверяются первоисточник, полномочия правообладателя, атрибуция и документы. При commercial_use=true все четыре объекта потребуют исключения, замены или отдельного разрешения.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 остальных объектов лицензионного конфликта по каталогу не обнаружено. Решения и условия для всех 12 объектов записаны в decisions.json. Исходный манифест не менялся. Дополнительно создан manifest_release_candidate.csv без item07: 11 записей, повторный аудит — 0 ошибок и 0 предупреждений. Нулевой счёт не подтверждает действительность прав.</w:t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3 Паспорт набора данных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 Motivation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Набор предназначен для обучения проверке происхождения, условий использования и рисков мультимедийных материалов. Пользователи — студенты и преподаватель. Сценарий — открытый учебный набор университета без коммерческого использования, с публикацией и созданием производных, которые допускается передавать на тех же условиях. Документ описывает учебный манифест, а не реально собранный медиакорпус.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 Composition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 исходном манифесте 12 записей: 4 audio, 4 text, 4 image. Каждая содержит id, filename, media_type, source, date_acquired, license, rights_holder, personal_data, consent, sha256. Все шесть лицензий представлены по два раза: CC0-1.0, CC-BY-4.0, CC-BY-NC-4.0, CC-BY-NC-SA-4.0, MIT, Apache-2.0. У 10 объектов каталог требует сохранения сведений об авторстве. Персональные данные отсутствуют: personal_data=no у всех 12, consent=n-a. Дубликатов контрольных сумм нет. Аудит: 0 ошибок и 1 предупреждение R8 для item07. После применения карантина учебный список для выпуска содержит 11 записей, а item07 остаётся в исходном манифесте.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 Collection Process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Записи реально созданы 7 октября 2026 года скриптом lab02_make_variant.py; генератор использует random.Random(1013), то есть 1000 + номер варианта. Указанные в записях даты 2026-01-13–2026-08-25 вымышлены и не являются датами реальной загрузки. У item07 дата неизвестна. Источники example.org/archive/itemNN и правообладатели Автор-NN условны; никаких материалов с этих адресов не скачивали. Контрольная сумма каждой записи вычислена от строки variant13-itemNN, а не от медиабайтов. Файлы WAV, TXT и PNG, перечисленные в манифесте, не существуют в комплекте. Поэтому проверить содержимое, действительность прав и наличие людей по этому набору невозможно.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 Preprocessing cleaning labeling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manifest.csv сохранён без исправлений. item07 отправлен в карантин: дата не восстановлена по догадке, запрос поставщику сформулирован в журнале, фактический запрос не отправлялся. Файл manifest_release_candidate.csv содержит остальные 11 записей; quarantine.csv содержит item07. Повторный аудит этого кандидата дал 0 ошибок и 0 предупреждений. Объекты с NC не исключены: четыре записи соответствуют текущей политике. Метки media_type, personal_data и consent созданы скриптом, ручной разметки содержимого нет.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5 Uses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Предполагается учебная некоммерческая работа. item02 и item05 под CC-BY-NC-4.0 принимаются с сохранением BY и NC; item06 и item10 под CC-BY-NC-SA-4.0 дополнительно требуют сохранения SA при распространении адаптаций. Это инженерная классификация по заявленным метаданным. Коммерческое переиспользование этих четырёх объектов требует отдельного разрешения или замены; при смене сценария аудит повторяется. Набор не подходит для обучения или оценки реальной модели, проверки медиахешей, анализа репрезентативности или утверждения о юридической чистоте.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6 Distribution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Публикуются синтетические записи, решения и результаты аудита. Лицензии в manifest.csv относятся к вымышленным объектам и не устанавливают лицензию на отчёт, методичку, код или весь GitHub-репозиторий. Набор не объявляется единообразно лицензированным или свободным для любых целей. Для реальных материалов нужно отдельно приложить автора, источник, ссылку на лицензию, уведомления и перечень изменений. Для MIT и Apache-2.0 четырёх учебных флагов недостаточно: проверяются полный текст лицензии и применимые уведомления. Карантинный объект не включается в предполагаемый выпуск медиакорпуса; его метаданные сохранены как доказательство учебной находки.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7 Maintenance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 документацию учебного комплекта отвечает Рясной Владимир Олегович. Предложенный порядок сопровождения реального набора: регистрировать обращения через Issues репозитория, скрывать спорный объект до проверки, сверять лицензию и документы с первоисточником, обновлять манифест, номер версии и журнал решения. Документы с персональными данными не размещаются публично. Для item07 требуется документ поставщика с датой получения и привязкой к объекту; при невозможности подтвердить дату карантин сохраняется. Смена коммерческого статуса или правил распространения требует нового аудита и юридической оценки.</w:t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4 Карточка модели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 Model Details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lab01_generator.py версии 1.0 — процедурный алгоритм шума значений с несколькими октавами и контекстом marble, а не обучаемая нейросеть. Веса отсутствуют. Источник — собственный паспорт ЛР01 варианта 13 от 24.09.2026 13:46:37 UTC (16:46:37 МСК); его точная копия находится в docs/input/lab01_passport.json. Среда исходного опыта: CPython 3.12.8, macOS-26.6.2-arm64-arm-64bit, zlib 1.2.11; сторонние пакеты не использовались. SHA-256 генератора: 8f07d340a5a765a8e44f1fec407489cf00114ba54216aa7539c4e7116680e152.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Ответственный за эксперимент и составление карточки — Рясной Владимир Олегович; это не утверждение авторства учебного генератора. Лицензия кода в паспорте и исходнике не объявлена. Решение: зафиксировать ограничение и не разрешать внешнее продуктовое применение или перелицензирование до подтверждения преподавателем либо правообладателем. Лицензия весов неприменима, поскольку весов нет. Права на результаты генерации рассматриваются отдельно и не выводятся из лицензий синтетического манифеста ЛР02.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 Intended Use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Учебная проверка воспроизводимости, работы seed и влияния параметров процедурной текстуры. Пользователи — студент и преподаватель. Модель не предназначена для вывода о качестве больших генеративных моделей, принятия значимых решений о людях или выпуска коммерческих изображений без отдельной проверки прав и пригодности.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 Factors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 ЛР01 изменялся только размер: 96 × 96 → 144 × 144 пикселя. Остальные параметры: cell=24, octaves=5, persistence=0.55, quantize=8, interp=smooth. Базовый seed=101, серии seed 101–105, n=5. При смене размера изменяется набор случайных узлов, поэтому сравниваются статистики, а не попиксельное равенство изображений разных размеров. Группы людей и языки неприменимы: входного человеческого контента нет.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 Metrics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Средняя яркость — среднее нормированных значений пикселей; контраст — стандартное отклонение яркости с делителем по числу пикселей; граничная энергия — средняя абсолютная разность горизонтально соседних пикселей, нормированная на 255; энтропия — энтропия гистограммы яркости в битах. Между seed вычисляется выборочное стандартное отклонение s с делителем n−1. Учебный критерий ЛР01: абсолютная разность средних больше 2s базы; это не формальный статистический тест. Метрики не оценивают эстетику, читаемость обложки или безопасность.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5 Evaluation Data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Внешнего тестового набора нет. Использованы две серии по пять синтетических изображений с seed 101–105 для размеров 96 и 144. Контрольный протокол ЛР01: seed 101, 101, 1101, 101; EQ_1_2=true, EQ_1_4=true, EQ_1_3=false, EQ_2_4=true. Эти значения перенесены из паспорта и сопоставлены с results.json ЛР01. Манифест из 12 объектов ЛР02 к оценке генератора отношения не имеет; опыт генератора заново для ЛР02 не проводился.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6 Training Data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Обучение не выполнялось, обучающих данных, предобученных весов и датасета разметки нет. Случайные узлы процедурного алгоритма создаются во время выполнения. Утверждать, что модель обучена на открытом учебном наборе ЛР02, нельзя.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7 Quantitative Analyses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1573"/>
        <w:gridCol w:w="1573"/>
        <w:gridCol w:w="1573"/>
        <w:gridCol w:w="1573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Метрика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Среднее базы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s базы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Среднее фактора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Разность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Средняя яркость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0.4943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0.0134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0.5038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+0.0095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Контраст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0.1162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0.0102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0.1181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+0.0019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Граничная энергия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0.0198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0.0005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0.0199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+0.0001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Энтропия бит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6.8756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0.1224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6.9343</w:t>
            </w:r>
          </w:p>
        </w:tc>
        <w:tc>
          <w:tcPr>
            <w:tcW w:type="dxa" w:w="157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+0.0586</w:t>
            </w:r>
          </w:p>
        </w:tc>
      </w:tr>
    </w:tbl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Отношения абсолютной разности к s базы: 0.71, 0.18, 0.26, 0.48 соответственно. Ни одно не превышает 2. Изменение не обнаружено по учебному критерию при n=5; это не доказательство отсутствия эффекта. Значения относятся к опыту ЛР01 24 сентября, а не к запуску аудита 7 октября.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8 Ethical Considerations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Алгоритм не обрабатывает изображения людей, внешние произведения или персональные данные; получаются синтетические текстуры. Это ограничивает некоторые риски, но не подтверждает права на код и не даёт универсальной правовой гарантии для изображений. При описании результата следует раскрывать его процедурное происхождение и не представлять его как фотографию реального материала. Для перехода к реальному медиакорпусу нужен отдельный анализ приватности, репрезентативности и лицензий.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9 Caveats and Recommendations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Малая серия n=5 ограничивает оценку разброса; исследованы одна модель и один фактор. Увеличение размера меняет случайную решётку; метрики описывают яркость, не визуальное качество. Паспорт эксперимента позволил заполнить технические разделы, но не установил лицензию кода, ответственного за сопровождение и условия продуктового использования. В карточке назначен ответственный за учебный эксперимент; лицензионный пробел зафиксирован явным ограничением, а не выдуманным SPDX-идентификатором. До внешнего применения требуется подтверждение прав. При переходе к обучаемой модели нужно добавить версию и лицензию весов, происхождение обучающих данных, внешнюю оценку и анализ подгрупп.</w:t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 Реестр рисков и результат проверки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Оценка R = L × I; L и I заданы по шкале 1–5. Это качественные учебные оценки риска до применения мер, без измерения частоты инцидентов. Шесть рисков относятся к шести группам из нумерованного перечня раздела 2 NIST AI 600-1 [7]. Роли в реестре задают предлагаемый процесс реального выпуска; за учебную документацию отвечает составитель.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6221"/>
        <w:gridCol w:w="864"/>
        <w:gridCol w:w="864"/>
        <w:gridCol w:w="864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622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Группа NIST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L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K01</w:t>
            </w:r>
          </w:p>
        </w:tc>
        <w:tc>
          <w:tcPr>
            <w:tcW w:type="dxa" w:w="622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Value Chain and Component Integration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K02</w:t>
            </w:r>
          </w:p>
        </w:tc>
        <w:tc>
          <w:tcPr>
            <w:tcW w:type="dxa" w:w="622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Intellectual Property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K05</w:t>
            </w:r>
          </w:p>
        </w:tc>
        <w:tc>
          <w:tcPr>
            <w:tcW w:type="dxa" w:w="622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Information Integrity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K06</w:t>
            </w:r>
          </w:p>
        </w:tc>
        <w:tc>
          <w:tcPr>
            <w:tcW w:type="dxa" w:w="622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Human-AI Configuration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K03</w:t>
            </w:r>
          </w:p>
        </w:tc>
        <w:tc>
          <w:tcPr>
            <w:tcW w:type="dxa" w:w="622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Data Privacy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K04</w:t>
            </w:r>
          </w:p>
        </w:tc>
        <w:tc>
          <w:tcPr>
            <w:tcW w:type="dxa" w:w="622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Harmful Bias or Homogenization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8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9</w:t>
            </w:r>
          </w:p>
        </w:tc>
      </w:tr>
    </w:tbl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K01 Value Chain and Component Integration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 выпуск попадает объект с неподтверждённой датой получения, как item07. Мера: Карантин item07; подтверждение даты документом поставщика; запрет догадок. Ответственный: куратор данных. Признак наступления: R8 у объекта в кандидате выпуска или объект включён без документа о дате.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K02 Intellectual Property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NC-объекты повторно используются коммерчески либо адаптация NC-SA распространяется без SA. Мера: Сохранить BY/NC/SA; при смене сценария повторить аудит и запросить разрешение либо заменить объект. Ответственный: ответственный за права. Признак наступления: commercial_use=true при наличии item02,item05,item06,item10 или отсутствует NC-SA у адаптации item06/item10.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K05 Information Integrity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Синтетические метаданные и хеши строк предъявляются как доказательство реального происхождения. Мера: Маркировать синтетический набор; различать строковые SHA-256 и хеши медиабайтов. Ответственный: составитель документации. Признак наступления: Отчёт называет example.org реальной загрузкой либо хеш записи выдаёт за проверку отсутствующего медиофайла.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K06 Human-AI Configuration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Нулевые ошибки аудита ошибочно принимаются как юридическое разрешение. Мера: Сохранять ограничения и человеческую проверку первоисточников перед реальным выпуском. Ответственный: ответственный за выпуск. Признак наступления: Выпуск разрешён только на основании 0 ошибок без решений по предупреждениям и проверки прав.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K03 Data Privacy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 будущем реальном корпусе флаг personal_data=no скрывает узнаваемого человека или идентификатор. Мера: Проверять сами материалы и согласия на публикацию; карантин при несовпадении метаданных. Ответственный: куратор данных и юрист проекта. Признак наступления: При просмотре найден человек/идентификатор при personal_data=no либо нет согласия на публикацию.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K04 Harmful Bias or Homogenization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Малый или однообразный реальный корпус ошибочно считают репрезентативным для всех групп и языков. Мера: Описывать охват и ограничения; проверять распределения тем, языков и групп до оценки модели. Ответственный: редактор набора. Признак наступления: В заявленном охвате есть группа или язык с нулём примеров, либо серия не проходит проверку разнообразия.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Проверка lab02_risks.py: RESULT: PASS, код возврата 0. Обе обязательные группы варианта присутствуют. Все строки имеют меры, ответственных и наблюдаемые признаки. Полный вывод сохранён в artifacts/risk_validation.log. Риски приватности и смещения относятся к будущему реальному наполнению, а не к установленным инцидентам в вымышленных записях.</w:t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 Анализ ограничений и вывод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Ожидания зафиксированы 07.10.2026 в 20:26:51 МСК (UTC+3) до первого запуска аудита. Ожидались 0 ошибок и 1 предупреждение R8 у item07; фактический результат совпал. Исходный набор имеет 12 записей, одна из которых не содержит дату получения. Решение — карантин item07 до подтверждения даты. Кандидат выпуска содержит 11 записей; его повторный аудит дал 0 ошибок и 0 предупреждений по записанным метаданным.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Все четыре NC-объекта соответствуют некоммерческой политике в учебной модели: item02 и item05 принимаются с BY и NC, item06 и item10 — с BY, NC и SA. Их приём условен: нужно подтвердить действительность лицензий, сохранить атрибуцию и маркировать изменения. ShareAlike относится к распространению адаптаций соответствующих произведений; он не означает автоматического перелицензирования всех независимых элементов коллекции. Открытая доступность набора не даёт права на коммерческое применение NC-материалов. Университетский статус сам по себе также не доказывает некоммерческий характер конкретного использования [1, 2].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Учебный аудит проверяет только значения полей. Он не видит медиабайты, не подтверждает авторство и действительность лицензии, не проверяет согласия, скрытые персональные данные, соответствие хеша файлу, репрезентативность, уведомления MIT/Apache-2.0 и правовой статус производной работы. Для реального набора нужны загрузка и проверка первоисточника, полный текст лицензии, документ поставщика, ручной просмотр содержимого и согласий, хеширование медиабайтов и независимая правовая оценка. В этой работе ничего не запрашивалось у вымышленных правообладателей.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Карантин item07 — более строгая инженерная мера, чем само предупреждение. При другом процессе возможен условный приём с явно неизвестной датой, однако здесь отсутствие подтверждённого происхождения блокирует выпуск объекта. Реестр содержит шесть рисков и шесть разных групп NIST; обязательные Data Privacy и Harmful Bias or Homogenization включены. Наибольшая оценка 16 относится к потере прослеживаемости происхождения. Оценки L и I — качественное учебное суждение до мер, а не измеренные частоты инцидентов. Риски приватности и смещения относятся прежде всего к будущей замене синтетического манифеста реальными данными: в текущем наборе наличие таких нарушений не установлено.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Паспорт данных содержит семь разделов, карточка модели — девять. Технические показатели карточки взяты из собственного опыта ЛР01, а не из демо преподавателя. У генератора нет весов и обучения; лицензия учебного кода не установлена. Назначение ответственного за эксперимент не устраняет отсутствие права на внешнее применение.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Вывод: комплект пригоден для учебного анализа заданного сценария. Для предполагаемого выпуска реального набора item07 исключён из кандидата до подтверждения даты; остальные 11 записей не вызывают правил аудита, но требуют проверки прав и условий в первоисточниках. Проверка реестра дала RESULT: PASS. Отсутствие ошибок не является разрешением на использование. Работа не является юридической консультацией; окончательное решение по реальным материалам принимает ответственный с участием правообладателя и юриста.</w:t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7 Ответы на контрольные вопросы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 Данные веса и результат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Лицензия данных регулирует исходные материалы, лицензия весов — использование и распространение параметров модели, а права на результат зависят от применимых норм, содержания и условий инструмента. Пример ошибки: объявить изображение свободным для продажи только потому, что модель обучали на открытых данных. У генератора ЛР01 весов нет, а лицензия кода не установлена; NC в манифесте ЛР02 не устанавливает лицензию текстур генератора.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 Условия Creative Commons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BY требует атрибуции; SA — распространения адаптаций на тех же или совместимых условиях; NC ограничивает коммерческое использование; ND ограничивает распространение адаптаций. В коммерческой афише NC создаёт прямой конфликт, ND препятствует распространению адаптированной афиши, а SA требует решения при несовместимой политике. Учебное R4 упрощено: лицензия CC BY-ND 4.0 допускает создание адаптации для себя, но запрещает её распространение [3].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 Идентификатор лицензии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«CC BY 4» не определяет точную лицензию и её версию в каталоге. Корректный пример SPDX — CC-BY-4.0. Исправление по догадке не подтверждает права: следует запросить первоисточник и точный текст лицензии. R2 использует маленький учебный каталог; отсутствие лицензии в нём не доказывает отсутствие идентификатора в полном списке SPDX [4].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 Две находки для одного объекта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 демо коммерческой афиши CC-BY-NC-SA-4.0 вызывает R3 из-за NC и R5 из-за неприемлемого SA. Исключение объекта снимает обе находки. В варианте 13 ни одна из этих находок не возникает: использование некоммерческое, а SA допускается. Решение принимается по объекту с учётом всех его находок.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5 Ошибка и предупреждение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Ошибка означает нарушение условия учебной политики или обязательного поля; предупреждение требует рассмотрения и документированного решения. Пример — R8 у item07: неизвестная дата не является лицензионным конфликтом, но мешает прослеживаемости и привела к карантину. Предупреждение нельзя игнорировать из-за отсутствия ошибок.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6 Персональные данные и согласия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публикации указанные четыре объекта дадут 2 ошибки R6 (none и n-a) и 2 предупреждения R7 (document). Без публикации будут 2 ошибки R6 и 0 предупреждений R7. Это счёт только по правилам приватности; другие дефекты могли бы добавить находки. Наличие document не доказывает охват цели, срок или корректность согласия.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7 Оценка риска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 L=3 и I=5 оценка R=15. Для L=4, I=3 получается 12, для L=2, I=5 — 10; первый риск ранжируется выше. Произведение порядковых оценок используется для учебной приоритизации и не является вероятностью ущерба.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8 Пробелы паспорта ЛР01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Из паспорта нельзя установить лицензию кода, ответственного за сопровождение и условия продуктового выпуска. В Model Details и Caveats and Recommendations эти пробелы описаны явно: назначен ответственный за учебный эксперимент, внешнее применение ограничено до подтверждения прав. Паспорт воспроизводимости не заменяет документацию прав и управления моделью. Training Data заполнен как неприменимый раздел с объяснением отсутствия обучения.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9 Наблюдаемый признак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Без признака наступления нельзя заметить инцидент и проверить, когда требуется мера. Для Data Privacy хороший признак — «при просмотре найден узнаваемый человек или идентификатор, хотя personal_data=no, либо отсутствует согласие на публикацию». Формулировка «возможна утечка» не описывает наблюдаемое событие.</w:t>
      </w:r>
    </w:p>
    <w:p>
      <w:pPr>
        <w:pStyle w:val="21"/>
        <w:keepNext/>
        <w:widowControl/>
        <w:spacing w:after="100" w:line="240" w:lineRule="auto" w:before="16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10 Пределы автоматизации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Скрипт не устанавливает истинность метаданных, полномочия лицензиара, скрытые персональные данные, юридическую квалификацию адаптации или качество выборки. Недостающие сведения получают из первоисточников, документов правообладателя и согласий, сверяют с самими файлами, затем передают спорные вопросы юристу. Вымышленные адреса example.org этого доказательства не дают.</w:t>
      </w:r>
    </w:p>
    <w:p>
      <w:r>
        <w:br w:type="page"/>
      </w:r>
    </w:p>
    <w:p>
      <w:pPr>
        <w:pStyle w:val="1"/>
        <w:keepNext/>
        <w:widowControl/>
        <w:spacing w:after="100" w:line="240" w:lineRule="auto" w:before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8 Источники и состав комплекта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Проверка публичных первоисточников выполнена 07.10.2026. Дата проверки не заменяет дату версии документа. Перечень 12 групп NIST сверялся именно с нумерованным перечнем раздела 2, а не с сокращёнными названиями в таблицах действий.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1. Creative Commons. CC BY-NC 4.0. https://creativecommons.org/licenses/by-nc/4.0/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2. Creative Commons. CC BY-NC-SA 4.0, полный текст. https://creativecommons.org/licenses/by-nc-sa/4.0/legalcode.en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3. Creative Commons. CC BY-ND 4.0. https://creativecommons.org/licenses/by-nd/4.0/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4. SPDX License List. https://spdx.org/licenses/ — точные идентификаторы; дата/версия учебного каталога сохранены в оригинальном lab02_common.py и не выдаются за текущую версию полного списка.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5. Mitchell M. et al. Model Cards for Model Reporting. arXiv:1810.03993, 2018. https://arxiv.org/abs/1810.03993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6. Gebru T. et al. Datasheets for Datasets. arXiv:1803.09010, 2018. https://arxiv.org/abs/1803.09010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7. NIST AI 600-1. Artificial Intelligence Risk Management Framework: Generative Artificial Intelligence Profile, July 2024, раздел 2. https://nvlpubs.nist.gov/nistpubs/ai/NIST.AI.600-1.pdf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8. Методические указания ЛР02 и пять исходных скриптов из приложенного архива, версия материалов от 19.09.2026. Оригинальные байты скриптов сохранены; материалы преподавателя не перелицензированы.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9. Собственный паспорт ЛР01 варианта 13 от 24.09.2026, docs/input/lab01_passport.json. Среда и результаты карточки относятся к этому опыту.</w:t>
      </w:r>
    </w:p>
    <w:p>
      <w:pPr>
        <w:keepNext w:val="0"/>
        <w:widowControl/>
        <w:spacing w:after="120" w:line="240" w:lineRule="auto"/>
        <w:ind w:firstLine="432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Отчёт сопровождают исходный манифест и политика, предварительные ожидания, результаты двух аудитов, решения, паспорт данных, карточка модели, CSV и ранжирование рисков, журналы команд, копия паспорта ЛР01 и проверочные скрипты. Архив содержит первичные артефакты и собственный список SHA-256; DOCX/PDF предоставляются отдельно.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Опубликованная работа: https://github.com/riasnoi/creative-ai-labs/tree/main/lab_02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Архив артефактов: https://github.com/riasnoi/creative-ai-labs/blob/main/lab_02/artifacts/ЛР02_Вариант_13_Артефакты.zip</w:t>
      </w:r>
    </w:p>
    <w:p>
      <w:pPr>
        <w:keepNext w:val="0"/>
        <w:widowControl/>
        <w:spacing w:after="120" w:line="240" w:lineRule="auto"/>
        <w:ind w:firstLine="432"/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Локально: artifacts/ЛР02_Вариант_13_Артефакты.zip. Проверка из lab_02: python tools/verify_submission.py. Полный манифест комплекта — MANIFEST.sha256; карта требований и фактические проверки — docs/REVIEW.md и docs/VERIFICATION.md.</w:t>
      </w:r>
    </w:p>
    <w:sectPr w:rsidR="009E7411" w:rsidRPr="00052455" w:rsidSect="00034616">
      <w:footerReference w:type="default" r:id="rId11"/>
      <w:pgSz w:w="11909" w:h="16834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6A00" w:rsidRDefault="00E76A00">
      <w:pPr>
        <w:spacing w:after="0" w:line="240" w:lineRule="auto"/>
      </w:pPr>
      <w:r>
        <w:separator/>
      </w:r>
    </w:p>
  </w:endnote>
  <w:endnote w:type="continuationSeparator" w:id="0">
    <w:p w:rsidR="00E76A00" w:rsidRDefault="00E7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7411" w:rsidRDefault="00000000">
    <w:pPr>
      <w:pStyle w:val="a7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>PAGE</w:instrText>
    </w:r>
    <w:r w:rsidR="00052455">
      <w:rPr>
        <w:rFonts w:eastAsia="Times New Roman"/>
        <w:sz w:val="18"/>
      </w:rPr>
      <w:fldChar w:fldCharType="separate"/>
    </w:r>
    <w:r w:rsidR="00052455">
      <w:rPr>
        <w:rFonts w:eastAsia="Times New Roman"/>
        <w:noProof/>
        <w:sz w:val="18"/>
      </w:rPr>
      <w:t>2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6A00" w:rsidRDefault="00E76A00">
      <w:pPr>
        <w:spacing w:after="0" w:line="240" w:lineRule="auto"/>
      </w:pPr>
      <w:r>
        <w:separator/>
      </w:r>
    </w:p>
  </w:footnote>
  <w:footnote w:type="continuationSeparator" w:id="0">
    <w:p w:rsidR="00E76A00" w:rsidRDefault="00E7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4147">
    <w:abstractNumId w:val="8"/>
  </w:num>
  <w:num w:numId="2" w16cid:durableId="613639278">
    <w:abstractNumId w:val="6"/>
  </w:num>
  <w:num w:numId="3" w16cid:durableId="165827415">
    <w:abstractNumId w:val="5"/>
  </w:num>
  <w:num w:numId="4" w16cid:durableId="476189246">
    <w:abstractNumId w:val="4"/>
  </w:num>
  <w:num w:numId="5" w16cid:durableId="1427994545">
    <w:abstractNumId w:val="7"/>
  </w:num>
  <w:num w:numId="6" w16cid:durableId="1109474643">
    <w:abstractNumId w:val="3"/>
  </w:num>
  <w:num w:numId="7" w16cid:durableId="899093537">
    <w:abstractNumId w:val="2"/>
  </w:num>
  <w:num w:numId="8" w16cid:durableId="1413089801">
    <w:abstractNumId w:val="1"/>
  </w:num>
  <w:num w:numId="9" w16cid:durableId="8002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5"/>
    <w:rsid w:val="0006063C"/>
    <w:rsid w:val="0015074B"/>
    <w:rsid w:val="0029639D"/>
    <w:rsid w:val="00326F90"/>
    <w:rsid w:val="009E7411"/>
    <w:rsid w:val="00AA1D8D"/>
    <w:rsid w:val="00B47730"/>
    <w:rsid w:val="00CB0664"/>
    <w:rsid w:val="00E41D3C"/>
    <w:rsid w:val="00E76A00"/>
    <w:rsid w:val="00ED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6CFC5F"/>
  <w14:defaultImageDpi w14:val="300"/>
  <w15:docId w15:val="{9B69DC54-31E2-C848-9D03-325C43EBEBA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052455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52455"/>
    <w:rPr>
      <w:rFonts w:ascii="Times New Roman" w:eastAsiaTheme="majorEastAsia" w:hAnsi="Times New Roman" w:cstheme="majorBidi"/>
      <w:b/>
      <w:bCs/>
      <w:color w:val="000000"/>
      <w:sz w:val="30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1192</Words>
  <Characters>8038</Characters>
  <Application>Microsoft Office Word</Application>
  <DocSecurity>0</DocSecurity>
  <Lines>309</Lines>
  <Paragraphs>263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Подготовка рабочей среды и паспорт эксперимента</vt:lpstr>
      <vt:lpstr/>
    </vt:vector>
  </TitlesOfParts>
  <Manager/>
  <Company/>
  <LinksUpToDate>false</LinksUpToDate>
  <CharactersWithSpaces>8967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Карточка модели лицензии и риски</dc:title>
  <dc:subject>Вариант 13</dc:subject>
  <dc:creator>Рясной Владимир Олегович</dc:creator>
  <cp:keywords/>
  <dc:description/>
  <cp:lastModifiedBy>Рясной Владимир Олегович</cp:lastModifiedBy>
  <cp:revision>2</cp:revision>
  <dcterms:created xsi:type="dcterms:W3CDTF">2013-12-23T23:15:00Z</dcterms:created>
  <dcterms:modified xsi:type="dcterms:W3CDTF">2026-09-24T14:55:00Z</dcterms:modified>
  <cp:category/>
</cp:coreProperties>
</file>