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72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libri" w:hAnsi="Calibri" w:cs="Calibri" w:eastAsia="Calibri"/>
          <w:b/>
          <w:color w:val="1F4E79"/>
          <w:spacing w:val="0"/>
          <w:position w:val="0"/>
          <w:sz w:val="48"/>
          <w:shd w:fill="auto" w:val="clear"/>
        </w:rPr>
        <w:t xml:space="preserve">PROJECT REPORT:</w:t>
        <w:br/>
        <w:t xml:space="preserve">TITANIC SURVIVAL CLASSIFICATION</w:t>
      </w:r>
    </w:p>
    <w:p>
      <w:pPr>
        <w:spacing w:before="0" w:after="800" w:line="276"/>
        <w:ind w:right="0" w:left="0" w:firstLine="0"/>
        <w:jc w:val="center"/>
        <w:rPr>
          <w:rFonts w:ascii="Cambria" w:hAnsi="Cambria" w:cs="Cambria" w:eastAsia="Cambria"/>
          <w:color w:val="auto"/>
          <w:spacing w:val="0"/>
          <w:position w:val="0"/>
          <w:sz w:val="22"/>
          <w:shd w:fill="auto" w:val="clear"/>
        </w:rPr>
      </w:pPr>
      <w:r>
        <w:rPr>
          <w:rFonts w:ascii="Calibri" w:hAnsi="Calibri" w:cs="Calibri" w:eastAsia="Calibri"/>
          <w:i/>
          <w:color w:val="2980B9"/>
          <w:spacing w:val="0"/>
          <w:position w:val="0"/>
          <w:sz w:val="26"/>
          <w:shd w:fill="auto" w:val="clear"/>
        </w:rPr>
        <w:t xml:space="preserve">Predictive Machine Learning Modeling using Random Forest Classifier</w:t>
      </w:r>
    </w:p>
    <w:tbl>
      <w:tblPr/>
      <w:tblGrid>
        <w:gridCol w:w="4680"/>
        <w:gridCol w:w="4680"/>
      </w:tblGrid>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2f4f7" w:val="clear"/>
            <w:tcMar>
              <w:left w:w="120" w:type="dxa"/>
              <w:right w:w="120"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b/>
                <w:color w:val="1F4E79"/>
                <w:spacing w:val="0"/>
                <w:position w:val="0"/>
                <w:sz w:val="22"/>
                <w:shd w:fill="auto" w:val="clear"/>
              </w:rPr>
              <w:t xml:space="preserve">Full Name:</w:t>
            </w:r>
          </w:p>
        </w:tc>
        <w:tc>
          <w:tcPr>
            <w:tcW w:w="4680" w:type="dxa"/>
            <w:tcBorders>
              <w:top w:val="single" w:color="000000" w:sz="0"/>
              <w:left w:val="single" w:color="000000" w:sz="0"/>
              <w:bottom w:val="single" w:color="000000" w:sz="0"/>
              <w:right w:val="single" w:color="000000" w:sz="0"/>
            </w:tcBorders>
            <w:shd w:color="000000" w:fill="fafafa" w:val="clear"/>
            <w:tcMar>
              <w:left w:w="120" w:type="dxa"/>
              <w:right w:w="120"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color w:val="2C3E50"/>
                <w:spacing w:val="0"/>
                <w:position w:val="0"/>
                <w:sz w:val="22"/>
                <w:shd w:fill="auto" w:val="clear"/>
              </w:rPr>
              <w:t xml:space="preserve">Fatima Riaz</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2f4f7" w:val="clear"/>
            <w:tcMar>
              <w:left w:w="120" w:type="dxa"/>
              <w:right w:w="120"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b/>
                <w:color w:val="1F4E79"/>
                <w:spacing w:val="0"/>
                <w:position w:val="0"/>
                <w:sz w:val="22"/>
                <w:shd w:fill="auto" w:val="clear"/>
              </w:rPr>
              <w:t xml:space="preserve">Internship Domain:</w:t>
            </w:r>
          </w:p>
        </w:tc>
        <w:tc>
          <w:tcPr>
            <w:tcW w:w="4680" w:type="dxa"/>
            <w:tcBorders>
              <w:top w:val="single" w:color="000000" w:sz="0"/>
              <w:left w:val="single" w:color="000000" w:sz="0"/>
              <w:bottom w:val="single" w:color="000000" w:sz="0"/>
              <w:right w:val="single" w:color="000000" w:sz="0"/>
            </w:tcBorders>
            <w:shd w:color="000000" w:fill="fafafa" w:val="clear"/>
            <w:tcMar>
              <w:left w:w="120" w:type="dxa"/>
              <w:right w:w="120"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color w:val="2C3E50"/>
                <w:spacing w:val="0"/>
                <w:position w:val="0"/>
                <w:sz w:val="22"/>
                <w:shd w:fill="auto" w:val="clear"/>
              </w:rPr>
              <w:t xml:space="preserve">Data Science </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2f4f7" w:val="clear"/>
            <w:tcMar>
              <w:left w:w="120" w:type="dxa"/>
              <w:right w:w="120"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b/>
                <w:color w:val="1F4E79"/>
                <w:spacing w:val="0"/>
                <w:position w:val="0"/>
                <w:sz w:val="22"/>
                <w:shd w:fill="auto" w:val="clear"/>
              </w:rPr>
              <w:t xml:space="preserve">Email Address:</w:t>
            </w:r>
          </w:p>
        </w:tc>
        <w:tc>
          <w:tcPr>
            <w:tcW w:w="4680" w:type="dxa"/>
            <w:tcBorders>
              <w:top w:val="single" w:color="000000" w:sz="0"/>
              <w:left w:val="single" w:color="000000" w:sz="0"/>
              <w:bottom w:val="single" w:color="000000" w:sz="0"/>
              <w:right w:val="single" w:color="000000" w:sz="0"/>
            </w:tcBorders>
            <w:shd w:color="000000" w:fill="fafafa" w:val="clear"/>
            <w:tcMar>
              <w:left w:w="120" w:type="dxa"/>
              <w:right w:w="120"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color w:val="2C3E50"/>
                <w:spacing w:val="0"/>
                <w:position w:val="0"/>
                <w:sz w:val="22"/>
                <w:shd w:fill="auto" w:val="clear"/>
              </w:rPr>
              <w:t xml:space="preserve">riazfatima226@gmail.com</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2f4f7" w:val="clear"/>
            <w:tcMar>
              <w:left w:w="120" w:type="dxa"/>
              <w:right w:w="120"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b/>
                <w:color w:val="1F4E79"/>
                <w:spacing w:val="0"/>
                <w:position w:val="0"/>
                <w:sz w:val="22"/>
                <w:shd w:fill="auto" w:val="clear"/>
              </w:rPr>
              <w:t xml:space="preserve">Phone Number:</w:t>
            </w:r>
          </w:p>
        </w:tc>
        <w:tc>
          <w:tcPr>
            <w:tcW w:w="4680" w:type="dxa"/>
            <w:tcBorders>
              <w:top w:val="single" w:color="000000" w:sz="0"/>
              <w:left w:val="single" w:color="000000" w:sz="0"/>
              <w:bottom w:val="single" w:color="000000" w:sz="0"/>
              <w:right w:val="single" w:color="000000" w:sz="0"/>
            </w:tcBorders>
            <w:shd w:color="000000" w:fill="fafafa" w:val="clear"/>
            <w:tcMar>
              <w:left w:w="120" w:type="dxa"/>
              <w:right w:w="120"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color w:val="2C3E50"/>
                <w:spacing w:val="0"/>
                <w:position w:val="0"/>
                <w:sz w:val="22"/>
                <w:shd w:fill="auto" w:val="clear"/>
              </w:rPr>
              <w:t xml:space="preserve">0309-9990063</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2f4f7" w:val="clear"/>
            <w:tcMar>
              <w:left w:w="120" w:type="dxa"/>
              <w:right w:w="120"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b/>
                <w:color w:val="1F4E79"/>
                <w:spacing w:val="0"/>
                <w:position w:val="0"/>
                <w:sz w:val="22"/>
                <w:shd w:fill="auto" w:val="clear"/>
              </w:rPr>
              <w:t xml:space="preserve">Submission Date:</w:t>
            </w:r>
          </w:p>
        </w:tc>
        <w:tc>
          <w:tcPr>
            <w:tcW w:w="4680" w:type="dxa"/>
            <w:tcBorders>
              <w:top w:val="single" w:color="000000" w:sz="0"/>
              <w:left w:val="single" w:color="000000" w:sz="0"/>
              <w:bottom w:val="single" w:color="000000" w:sz="0"/>
              <w:right w:val="single" w:color="000000" w:sz="0"/>
            </w:tcBorders>
            <w:shd w:color="000000" w:fill="fafafa" w:val="clear"/>
            <w:tcMar>
              <w:left w:w="120" w:type="dxa"/>
              <w:right w:w="120"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color w:val="2C3E50"/>
                <w:spacing w:val="0"/>
                <w:position w:val="0"/>
                <w:sz w:val="22"/>
                <w:shd w:fill="auto" w:val="clear"/>
              </w:rPr>
              <w:t xml:space="preserve">July 2026</w:t>
            </w:r>
          </w:p>
        </w:tc>
      </w:tr>
    </w:tbl>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F4E79"/>
          <w:spacing w:val="0"/>
          <w:position w:val="0"/>
          <w:sz w:val="32"/>
          <w:shd w:fill="auto" w:val="clear"/>
        </w:rPr>
        <w:t xml:space="preserve">Executive Summary</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This project applies supervised machine learning techniques to the historical Titanic passenger dataset to build an accurate classification model capable of predicting passenger survival. Utilizing an iterative data science framework, the dataset was explored, cleaned, engineered, and modeled using a Random Forest Classifier. The final tuned model achieved an overall accuracy of 79.33% on the unseen test set, with a Precision of 79.63% and an F1-Score of 69.92%. Feature importance analysis revealed that Passenger Gender (Sex_male), Fare, and Ticket Class (Pclass) were the primary determinants of survival, heavily aligning with historical records of 'women and children first' evacuation protocols.</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F4E79"/>
          <w:spacing w:val="0"/>
          <w:position w:val="0"/>
          <w:sz w:val="32"/>
          <w:shd w:fill="auto" w:val="clear"/>
        </w:rPr>
        <w:t xml:space="preserve">1. Project Overview &amp; Introduction</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The sinking of the RMS Titanic is one of the most infamous shipwrecks in history. On April 15, 1912, during her maiden voyage, the Titanic sank after colliding with an iceberg, resulting in the deaths of 1,502 out of 2,224 passengers and crew. While there was an element of luck involved in surviving, evidence shows that certain groups of people were much more likely to survive than others, such as women, children, and upper-class passengers.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980B9"/>
          <w:spacing w:val="0"/>
          <w:position w:val="0"/>
          <w:sz w:val="26"/>
          <w:shd w:fill="auto" w:val="clear"/>
        </w:rPr>
        <w:t xml:space="preserve">1.1 Dataset Structure &amp; Initial Inspection</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The training dataset contains 891 individual passenger records and 12 distinct attributes (1 target variable and 11 features). Below is an overview of the raw dataset schema:</w:t>
      </w:r>
    </w:p>
    <w:tbl>
      <w:tblPr/>
      <w:tblGrid>
        <w:gridCol w:w="2340"/>
        <w:gridCol w:w="2340"/>
        <w:gridCol w:w="2340"/>
        <w:gridCol w:w="2340"/>
      </w:tblGrid>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1f4e79"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b/>
                <w:color w:val="FFFFFF"/>
                <w:spacing w:val="0"/>
                <w:position w:val="0"/>
                <w:sz w:val="22"/>
                <w:shd w:fill="auto" w:val="clear"/>
              </w:rPr>
              <w:t xml:space="preserve">Column Name</w:t>
            </w:r>
          </w:p>
        </w:tc>
        <w:tc>
          <w:tcPr>
            <w:tcW w:w="2340" w:type="dxa"/>
            <w:tcBorders>
              <w:top w:val="single" w:color="000000" w:sz="0"/>
              <w:left w:val="single" w:color="000000" w:sz="0"/>
              <w:bottom w:val="single" w:color="000000" w:sz="0"/>
              <w:right w:val="single" w:color="000000" w:sz="0"/>
            </w:tcBorders>
            <w:shd w:color="000000" w:fill="1f4e79"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b/>
                <w:color w:val="FFFFFF"/>
                <w:spacing w:val="0"/>
                <w:position w:val="0"/>
                <w:sz w:val="22"/>
                <w:shd w:fill="auto" w:val="clear"/>
              </w:rPr>
              <w:t xml:space="preserve">Non-Null Count</w:t>
            </w:r>
          </w:p>
        </w:tc>
        <w:tc>
          <w:tcPr>
            <w:tcW w:w="2340" w:type="dxa"/>
            <w:tcBorders>
              <w:top w:val="single" w:color="000000" w:sz="0"/>
              <w:left w:val="single" w:color="000000" w:sz="0"/>
              <w:bottom w:val="single" w:color="000000" w:sz="0"/>
              <w:right w:val="single" w:color="000000" w:sz="0"/>
            </w:tcBorders>
            <w:shd w:color="000000" w:fill="1f4e79"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b/>
                <w:color w:val="FFFFFF"/>
                <w:spacing w:val="0"/>
                <w:position w:val="0"/>
                <w:sz w:val="22"/>
                <w:shd w:fill="auto" w:val="clear"/>
              </w:rPr>
              <w:t xml:space="preserve">Data Type</w:t>
            </w:r>
          </w:p>
        </w:tc>
        <w:tc>
          <w:tcPr>
            <w:tcW w:w="2340" w:type="dxa"/>
            <w:tcBorders>
              <w:top w:val="single" w:color="000000" w:sz="0"/>
              <w:left w:val="single" w:color="000000" w:sz="0"/>
              <w:bottom w:val="single" w:color="000000" w:sz="0"/>
              <w:right w:val="single" w:color="000000" w:sz="0"/>
            </w:tcBorders>
            <w:shd w:color="000000" w:fill="1f4e79"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b/>
                <w:color w:val="FFFFFF"/>
                <w:spacing w:val="0"/>
                <w:position w:val="0"/>
                <w:sz w:val="22"/>
                <w:shd w:fill="auto" w:val="clear"/>
              </w:rPr>
              <w:t xml:space="preserve">Description</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PassengerId</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891</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int64</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Unique identifier for each passenger</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Survived</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891</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int64</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Target variable (0 = Died, 1 = Survived)</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Pclass</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891</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int64</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Socio-economic ticket class (1 = 1st, 2 = 2nd, 3 = 3rd)</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Name</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891</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object</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Full name and title of the passenger</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Sex</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891</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object</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Biological sex (male / female)</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Age</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714</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float64</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Age in years (177 missing values)</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SibSp</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891</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int64</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Number of siblings / spouses aboard</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Parch</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891</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int64</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Number of parents / children aboard</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Ticket</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891</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object</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Ticket identification number</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Fare</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891</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float64</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Passenger fare paid (in British Pounds)</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Cabin</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204</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object</w:t>
            </w:r>
          </w:p>
        </w:tc>
        <w:tc>
          <w:tcPr>
            <w:tcW w:w="234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Cabin number (687 missing values)</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Embarked</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889</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object</w:t>
            </w:r>
          </w:p>
        </w:tc>
        <w:tc>
          <w:tcPr>
            <w:tcW w:w="23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19"/>
                <w:shd w:fill="auto" w:val="clear"/>
              </w:rPr>
              <w:t xml:space="preserve">Port of Embarkation (C = Cherbourg, Q = Queenstown, S = Southampton)</w:t>
            </w:r>
          </w:p>
        </w:tc>
      </w:tr>
    </w:tbl>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F4E79"/>
          <w:spacing w:val="0"/>
          <w:position w:val="0"/>
          <w:sz w:val="32"/>
          <w:shd w:fill="auto" w:val="clear"/>
        </w:rPr>
        <w:t xml:space="preserve">2. Data Cleaning &amp; Feature Engineering</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980B9"/>
          <w:spacing w:val="0"/>
          <w:position w:val="0"/>
          <w:sz w:val="26"/>
          <w:shd w:fill="auto" w:val="clear"/>
        </w:rPr>
        <w:t xml:space="preserve">2.1 Missing Value Analysis &amp; Imputation Strategy</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Initial exploratory analysis identified significant missingness in three attributes: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Cabin: Missing 687 records (77.10%). Due to extreme sparsity, the column was dropped.</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Age: Missing 177 records (19.87%). Imputed using the median age (28.0 years) to avoid bias from extreme age outliers.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Embarked: Missing 2 records (0.22%). Imputed using the statistical mode ('S' - Southampton).</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980B9"/>
          <w:spacing w:val="0"/>
          <w:position w:val="0"/>
          <w:sz w:val="26"/>
          <w:shd w:fill="auto" w:val="clear"/>
        </w:rPr>
        <w:t xml:space="preserve">2.2 Feature Engineering &amp; Transformation</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To maximize model performance, new domain-specific predictive features were engineered:</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1. FamilySize: Created by combining SibSp + Parch + 1 to capture complete family unit size aboard.</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2. IsAlone: Binary indicator (1 if FamilySize == 1 else 0) to highlight solitary travelers.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3. Categorical Encoding: Converted categorical variables (Sex and Embarked) into binary dummy variables using One-Hot Encoding (drop_first=True) to eliminate multicollinearity.</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4. Feature Scaling: Standardized continuous numerical variables (Age, Fare, FamilySize) using StandardScaler.</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F4E79"/>
          <w:spacing w:val="0"/>
          <w:position w:val="0"/>
          <w:sz w:val="32"/>
          <w:shd w:fill="auto" w:val="clear"/>
        </w:rPr>
        <w:t xml:space="preserve">3. Exploratory Data Analysis (EDA) &amp; Insights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980B9"/>
          <w:spacing w:val="0"/>
          <w:position w:val="0"/>
          <w:sz w:val="26"/>
          <w:shd w:fill="auto" w:val="clear"/>
        </w:rPr>
        <w:t xml:space="preserve">3.1 Survival Rate by Gender</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Gender was the single strongest univariate predictor of survival. Out of 314 female passengers, 233 survived (74.20%), whereas out of 577 male passengers, only 109 survived (18.89%). This stark contrast reflects the rigid enforcement of maritime safety protocols prioritizing females during lifeboat loading.</w:t>
      </w:r>
    </w:p>
    <w:p>
      <w:pPr>
        <w:spacing w:before="0" w:after="8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center"/>
        <w:rPr>
          <w:rFonts w:ascii="Cambria" w:hAnsi="Cambria" w:cs="Cambria" w:eastAsia="Cambria"/>
          <w:color w:val="auto"/>
          <w:spacing w:val="0"/>
          <w:position w:val="0"/>
          <w:sz w:val="22"/>
          <w:shd w:fill="auto" w:val="clear"/>
        </w:rPr>
      </w:pPr>
      <w:r>
        <w:object w:dxaOrig="10368" w:dyaOrig="6912">
          <v:rect xmlns:o="urn:schemas-microsoft-com:office:office" xmlns:v="urn:schemas-microsoft-com:vml" id="rectole0000000000" style="width:518.400000pt;height:345.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19"/>
          <w:shd w:fill="auto" w:val="clear"/>
        </w:rPr>
        <w:t xml:space="preserve">Figure 1: Survival Rate Breakdown by Gender</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980B9"/>
          <w:spacing w:val="0"/>
          <w:position w:val="0"/>
          <w:sz w:val="26"/>
          <w:shd w:fill="auto" w:val="clear"/>
        </w:rPr>
        <w:t xml:space="preserve">3.2 Survival Rate by Ticket Class (Pclass)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Socio-economic status played a significant role in survival outcomes. 1st Class passengers exhibited a 62.96% survival rate, 2nd Class achieved 47.28%, while 3rd Class passengers suffered the lowest survival rate at 24.24%. First-class cabins were located on upper decks with direct access to lifeboats.</w:t>
      </w:r>
    </w:p>
    <w:p>
      <w:pPr>
        <w:spacing w:before="0" w:after="200" w:line="276"/>
        <w:ind w:right="0" w:left="0" w:firstLine="0"/>
        <w:jc w:val="center"/>
        <w:rPr>
          <w:rFonts w:ascii="Cambria" w:hAnsi="Cambria" w:cs="Cambria" w:eastAsia="Cambria"/>
          <w:color w:val="auto"/>
          <w:spacing w:val="0"/>
          <w:position w:val="0"/>
          <w:sz w:val="22"/>
          <w:shd w:fill="auto" w:val="clear"/>
        </w:rPr>
      </w:pPr>
      <w:r>
        <w:object w:dxaOrig="10368" w:dyaOrig="6912">
          <v:rect xmlns:o="urn:schemas-microsoft-com:office:office" xmlns:v="urn:schemas-microsoft-com:vml" id="rectole0000000001" style="width:518.400000pt;height:345.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19"/>
          <w:shd w:fill="auto" w:val="clear"/>
        </w:rPr>
        <w:t xml:space="preserve">Figure 2: Survival Rate Breakdown by Ticket Class</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F4E79"/>
          <w:spacing w:val="0"/>
          <w:position w:val="0"/>
          <w:sz w:val="32"/>
          <w:shd w:fill="auto" w:val="clear"/>
        </w:rPr>
        <w:t xml:space="preserve">4. Model Implementation &amp; Evaluation Results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980B9"/>
          <w:spacing w:val="0"/>
          <w:position w:val="0"/>
          <w:sz w:val="26"/>
          <w:shd w:fill="auto" w:val="clear"/>
        </w:rPr>
        <w:t xml:space="preserve">4.1 Model Selection &amp; Architecture</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A Random Forest Classifier (100 estimators, max_depth=5) was selected due to its robustness against overfitting, ability to handle non-linear feature interactions, and interpretability. The dataset was split into an 80% Training Set (712 records) and a 20% Stratified Test Set (179 records).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980B9"/>
          <w:spacing w:val="0"/>
          <w:position w:val="0"/>
          <w:sz w:val="26"/>
          <w:shd w:fill="auto" w:val="clear"/>
        </w:rPr>
        <w:t xml:space="preserve">4.2 Key Performance Metrics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The model evaluation yielded the following summary metrics on the test dataset:</w:t>
      </w:r>
    </w:p>
    <w:tbl>
      <w:tblPr/>
      <w:tblGrid>
        <w:gridCol w:w="4680"/>
        <w:gridCol w:w="4680"/>
      </w:tblGrid>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1f4e79"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b/>
                <w:color w:val="FFFFFF"/>
                <w:spacing w:val="0"/>
                <w:position w:val="0"/>
                <w:sz w:val="22"/>
                <w:shd w:fill="auto" w:val="clear"/>
              </w:rPr>
              <w:t xml:space="preserve">Evaluation Metric</w:t>
            </w:r>
          </w:p>
        </w:tc>
        <w:tc>
          <w:tcPr>
            <w:tcW w:w="4680" w:type="dxa"/>
            <w:tcBorders>
              <w:top w:val="single" w:color="000000" w:sz="0"/>
              <w:left w:val="single" w:color="000000" w:sz="0"/>
              <w:bottom w:val="single" w:color="000000" w:sz="0"/>
              <w:right w:val="single" w:color="000000" w:sz="0"/>
            </w:tcBorders>
            <w:shd w:color="000000" w:fill="1f4e79" w:val="clear"/>
            <w:tcMar>
              <w:left w:w="108" w:type="dxa"/>
              <w:right w:w="108" w:type="dxa"/>
            </w:tcMar>
            <w:vAlign w:val="top"/>
          </w:tcPr>
          <w:p>
            <w:pPr>
              <w:spacing w:before="0" w:after="200" w:line="276"/>
              <w:ind w:right="0" w:left="0" w:firstLine="0"/>
              <w:jc w:val="left"/>
              <w:rPr>
                <w:spacing w:val="0"/>
                <w:position w:val="0"/>
                <w:sz w:val="22"/>
                <w:shd w:fill="auto" w:val="clear"/>
              </w:rPr>
            </w:pPr>
            <w:r>
              <w:rPr>
                <w:rFonts w:ascii="Cambria" w:hAnsi="Cambria" w:cs="Cambria" w:eastAsia="Cambria"/>
                <w:b/>
                <w:color w:val="FFFFFF"/>
                <w:spacing w:val="0"/>
                <w:position w:val="0"/>
                <w:sz w:val="22"/>
                <w:shd w:fill="auto" w:val="clear"/>
              </w:rPr>
              <w:t xml:space="preserve">Model Performance Score</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20"/>
                <w:shd w:fill="auto" w:val="clear"/>
              </w:rPr>
              <w:t xml:space="preserve">Accuracy</w:t>
            </w:r>
          </w:p>
        </w:tc>
        <w:tc>
          <w:tcPr>
            <w:tcW w:w="468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spacing w:val="0"/>
                <w:position w:val="0"/>
                <w:shd w:fill="auto" w:val="clear"/>
              </w:rPr>
            </w:pPr>
            <w:r>
              <w:rPr>
                <w:rFonts w:ascii="Cambria" w:hAnsi="Cambria" w:cs="Cambria" w:eastAsia="Cambria"/>
                <w:b/>
                <w:color w:val="1F4E79"/>
                <w:spacing w:val="0"/>
                <w:position w:val="0"/>
                <w:sz w:val="20"/>
                <w:shd w:fill="auto" w:val="clear"/>
              </w:rPr>
              <w:t xml:space="preserve">79.33%</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20"/>
                <w:shd w:fill="auto" w:val="clear"/>
              </w:rPr>
              <w:t xml:space="preserve">Precision (Survived)</w:t>
            </w:r>
          </w:p>
        </w:tc>
        <w:tc>
          <w:tcPr>
            <w:tcW w:w="46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Cambria" w:hAnsi="Cambria" w:cs="Cambria" w:eastAsia="Cambria"/>
                <w:b/>
                <w:color w:val="1F4E79"/>
                <w:spacing w:val="0"/>
                <w:position w:val="0"/>
                <w:sz w:val="20"/>
                <w:shd w:fill="auto" w:val="clear"/>
              </w:rPr>
              <w:t xml:space="preserve">79.63%</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20"/>
                <w:shd w:fill="auto" w:val="clear"/>
              </w:rPr>
              <w:t xml:space="preserve">Recall (Survived)</w:t>
            </w:r>
          </w:p>
        </w:tc>
        <w:tc>
          <w:tcPr>
            <w:tcW w:w="4680" w:type="dxa"/>
            <w:tcBorders>
              <w:top w:val="single" w:color="000000" w:sz="0"/>
              <w:left w:val="single" w:color="000000" w:sz="0"/>
              <w:bottom w:val="single" w:color="000000" w:sz="0"/>
              <w:right w:val="single" w:color="000000" w:sz="0"/>
            </w:tcBorders>
            <w:shd w:color="000000" w:fill="f9fbfd" w:val="clear"/>
            <w:tcMar>
              <w:left w:w="108" w:type="dxa"/>
              <w:right w:w="108" w:type="dxa"/>
            </w:tcMar>
            <w:vAlign w:val="top"/>
          </w:tcPr>
          <w:p>
            <w:pPr>
              <w:spacing w:before="0" w:after="200" w:line="276"/>
              <w:ind w:right="0" w:left="0" w:firstLine="0"/>
              <w:jc w:val="left"/>
              <w:rPr>
                <w:spacing w:val="0"/>
                <w:position w:val="0"/>
                <w:shd w:fill="auto" w:val="clear"/>
              </w:rPr>
            </w:pPr>
            <w:r>
              <w:rPr>
                <w:rFonts w:ascii="Cambria" w:hAnsi="Cambria" w:cs="Cambria" w:eastAsia="Cambria"/>
                <w:b/>
                <w:color w:val="1F4E79"/>
                <w:spacing w:val="0"/>
                <w:position w:val="0"/>
                <w:sz w:val="20"/>
                <w:shd w:fill="auto" w:val="clear"/>
              </w:rPr>
              <w:t xml:space="preserve">62.32%</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ambria" w:hAnsi="Cambria" w:cs="Cambria" w:eastAsia="Cambria"/>
                <w:color w:val="auto"/>
                <w:spacing w:val="0"/>
                <w:position w:val="0"/>
                <w:sz w:val="20"/>
                <w:shd w:fill="auto" w:val="clear"/>
              </w:rPr>
              <w:t xml:space="preserve">F1-Score (Survived)</w:t>
            </w:r>
          </w:p>
        </w:tc>
        <w:tc>
          <w:tcPr>
            <w:tcW w:w="46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spacing w:val="0"/>
                <w:position w:val="0"/>
                <w:shd w:fill="auto" w:val="clear"/>
              </w:rPr>
            </w:pPr>
            <w:r>
              <w:rPr>
                <w:rFonts w:ascii="Cambria" w:hAnsi="Cambria" w:cs="Cambria" w:eastAsia="Cambria"/>
                <w:b/>
                <w:color w:val="1F4E79"/>
                <w:spacing w:val="0"/>
                <w:position w:val="0"/>
                <w:sz w:val="20"/>
                <w:shd w:fill="auto" w:val="clear"/>
              </w:rPr>
              <w:t xml:space="preserve">69.92%</w:t>
            </w:r>
          </w:p>
        </w:tc>
      </w:tr>
    </w:tbl>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980B9"/>
          <w:spacing w:val="0"/>
          <w:position w:val="0"/>
          <w:sz w:val="26"/>
          <w:shd w:fill="auto" w:val="clear"/>
        </w:rPr>
        <w:t xml:space="preserve">4.3 Confusion Matrix &amp; Feature Importance</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The confusion matrix breakdown illustrates that out of 110 actual deceased passengers in the test set, the model correctly identified 99 (True Negatives). Out of 69 actual survivors, it correctly predicted 43 (True Positives).</w:t>
      </w:r>
    </w:p>
    <w:p>
      <w:pPr>
        <w:spacing w:before="0" w:after="200" w:line="276"/>
        <w:ind w:right="0" w:left="0" w:firstLine="0"/>
        <w:jc w:val="center"/>
        <w:rPr>
          <w:rFonts w:ascii="Cambria" w:hAnsi="Cambria" w:cs="Cambria" w:eastAsia="Cambria"/>
          <w:color w:val="auto"/>
          <w:spacing w:val="0"/>
          <w:position w:val="0"/>
          <w:sz w:val="22"/>
          <w:shd w:fill="auto" w:val="clear"/>
        </w:rPr>
      </w:pPr>
      <w:r>
        <w:object w:dxaOrig="9331" w:dyaOrig="6786">
          <v:rect xmlns:o="urn:schemas-microsoft-com:office:office" xmlns:v="urn:schemas-microsoft-com:vml" id="rectole0000000002" style="width:466.550000pt;height:339.3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19"/>
          <w:shd w:fill="auto" w:val="clear"/>
        </w:rPr>
        <w:t xml:space="preserve">Figure 3: Random Forest Confusion Matrix</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Feature importance scores confirmed that Sex_male was by far the dominant feature accounting for 42.07% of predictive importance, followed by Fare (16.95%), Pclass (13.69%), and Age (11.12%).</w:t>
      </w:r>
    </w:p>
    <w:p>
      <w:pPr>
        <w:spacing w:before="0" w:after="200" w:line="276"/>
        <w:ind w:right="0" w:left="0" w:firstLine="0"/>
        <w:jc w:val="center"/>
        <w:rPr>
          <w:rFonts w:ascii="Cambria" w:hAnsi="Cambria" w:cs="Cambria" w:eastAsia="Cambria"/>
          <w:color w:val="auto"/>
          <w:spacing w:val="0"/>
          <w:position w:val="0"/>
          <w:sz w:val="22"/>
          <w:shd w:fill="auto" w:val="clear"/>
        </w:rPr>
      </w:pPr>
      <w:r>
        <w:object w:dxaOrig="10368" w:dyaOrig="6380">
          <v:rect xmlns:o="urn:schemas-microsoft-com:office:office" xmlns:v="urn:schemas-microsoft-com:vml" id="rectole0000000003" style="width:518.400000pt;height:319.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19"/>
          <w:shd w:fill="auto" w:val="clear"/>
        </w:rPr>
        <w:t xml:space="preserve">Figure 4: Relative Feature Importance Breakdown</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F4E79"/>
          <w:spacing w:val="0"/>
          <w:position w:val="0"/>
          <w:sz w:val="32"/>
          <w:shd w:fill="auto" w:val="clear"/>
        </w:rPr>
        <w:t xml:space="preserve">5. Python Code Implementation Details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Below is the complete end-to-end Python script used for data loading, exploratory statistics, missing value imputation, feature engineering, model training, and visual asset generation:</w:t>
      </w:r>
    </w:p>
    <w:tbl>
      <w:tblPr/>
      <w:tblGrid>
        <w:gridCol w:w="9360"/>
      </w:tblGrid>
      <w:tr>
        <w:trPr>
          <w:trHeight w:val="1" w:hRule="atLeast"/>
          <w:jc w:val="center"/>
        </w:trPr>
        <w:tc>
          <w:tcPr>
            <w:tcW w:w="9360" w:type="dxa"/>
            <w:tcBorders>
              <w:top w:val="single" w:color="000000" w:sz="0"/>
              <w:left w:val="single" w:color="000000" w:sz="0"/>
              <w:bottom w:val="single" w:color="000000" w:sz="0"/>
              <w:right w:val="single" w:color="000000" w:sz="0"/>
            </w:tcBorders>
            <w:shd w:color="000000" w:fill="272822" w:val="clear"/>
            <w:tcMar>
              <w:left w:w="150" w:type="dxa"/>
              <w:right w:w="150" w:type="dxa"/>
            </w:tcMar>
            <w:vAlign w:val="top"/>
          </w:tcPr>
          <w:p>
            <w:pPr>
              <w:spacing w:before="0" w:after="0" w:line="252"/>
              <w:ind w:right="0" w:left="0" w:firstLine="0"/>
              <w:jc w:val="left"/>
              <w:rPr>
                <w:spacing w:val="0"/>
                <w:position w:val="0"/>
                <w:shd w:fill="auto" w:val="clear"/>
              </w:rPr>
            </w:pPr>
            <w:r>
              <w:rPr>
                <w:rFonts w:ascii="Consolas" w:hAnsi="Consolas" w:cs="Consolas" w:eastAsia="Consolas"/>
                <w:color w:val="F8F8F2"/>
                <w:spacing w:val="0"/>
                <w:position w:val="0"/>
                <w:sz w:val="17"/>
                <w:shd w:fill="auto" w:val="clear"/>
              </w:rPr>
              <w:t xml:space="preserve">import numpy as np</w:t>
              <w:br/>
              <w:t xml:space="preserve">import pandas as pd</w:t>
              <w:br/>
              <w:t xml:space="preserve">import matplotlib.pyplot as plt</w:t>
              <w:br/>
              <w:t xml:space="preserve">import seaborn as sns</w:t>
              <w:br/>
              <w:br/>
              <w:t xml:space="preserve">from sklearn.model_selection import train_test_split</w:t>
              <w:br/>
              <w:t xml:space="preserve">from sklearn.preprocessing import StandardScaler</w:t>
              <w:br/>
              <w:t xml:space="preserve">from sklearn.ensemble import RandomForestClassifier</w:t>
              <w:br/>
              <w:t xml:space="preserve">from sklearn.metrics import accuracy_score, precision_score, recall_score, f1_score, classification_report, confusion_matrix</w:t>
              <w:br/>
              <w:br/>
              <w:t xml:space="preserve"># 1. Load Data</w:t>
              <w:br/>
              <w:t xml:space="preserve">df = pd.read_csv('train.csv')</w:t>
              <w:br/>
              <w:br/>
              <w:t xml:space="preserve"># 2. Data Preprocessing &amp; Imputation</w:t>
              <w:br/>
              <w:t xml:space="preserve">data = df.copy()</w:t>
              <w:br/>
              <w:t xml:space="preserve">data['Age'] = data['Age'].fillna(data['Age'].median())</w:t>
              <w:br/>
              <w:t xml:space="preserve">data['Embarked'] = data['Embarked'].fillna(data['Embarked'].mode()[0])</w:t>
              <w:br/>
              <w:t xml:space="preserve">data.drop(columns=['Cabin', 'PassengerId', 'Name', 'Ticket'], inplace=True)</w:t>
              <w:br/>
              <w:br/>
              <w:t xml:space="preserve"># 3. Feature Engineering</w:t>
              <w:br/>
              <w:t xml:space="preserve">data['FamilySize'] = data['SibSp'] + data['Parch'] + 1</w:t>
              <w:br/>
              <w:t xml:space="preserve">data['IsAlone'] = (data['FamilySize'] == 1).astype(int)</w:t>
              <w:br/>
              <w:t xml:space="preserve">data = pd.get_dummies(data, columns=['Sex', 'Embarked'], drop_first=True)</w:t>
              <w:br/>
              <w:br/>
              <w:t xml:space="preserve"># 4. Train-Test Split &amp; Scaling</w:t>
              <w:br/>
              <w:t xml:space="preserve">X = data.drop(columns=['Survived'])</w:t>
              <w:br/>
              <w:t xml:space="preserve">y = data['Survived']</w:t>
              <w:br/>
              <w:t xml:space="preserve">X_train, X_test, y_train, y_test = train_test_split(X, y, test_size=0.2, random_state=42, stratify=y)</w:t>
              <w:br/>
              <w:br/>
              <w:t xml:space="preserve">scaler = StandardScaler()</w:t>
              <w:br/>
              <w:t xml:space="preserve">X_train_scaled = scaler.fit_transform(X_train)</w:t>
              <w:br/>
              <w:t xml:space="preserve">X_test_scaled = scaler.transform(X_test)</w:t>
              <w:br/>
              <w:br/>
              <w:t xml:space="preserve"># 5. Model Training &amp; Evaluation</w:t>
              <w:br/>
              <w:t xml:space="preserve">model = RandomForestClassifier(n_estimators=100, max_depth=5, random_state=42)</w:t>
              <w:br/>
              <w:t xml:space="preserve">model.fit(X_train_scaled, y_train)</w:t>
              <w:br/>
              <w:t xml:space="preserve">y_pred = model.predict(X_test_scaled)</w:t>
              <w:br/>
              <w:br/>
              <w:t xml:space="preserve">print("Accuracy:", accuracy_score(y_test, y_pred))</w:t>
              <w:br/>
              <w:t xml:space="preserve">print(classification_report(y_test, y_pred))</w:t>
            </w:r>
          </w:p>
        </w:tc>
      </w:tr>
    </w:tbl>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F4E79"/>
          <w:spacing w:val="0"/>
          <w:position w:val="0"/>
          <w:sz w:val="32"/>
          <w:shd w:fill="auto" w:val="clear"/>
        </w:rPr>
        <w:t xml:space="preserve">6. Conclusion &amp; Future Enhancements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The Titanic Survival Classification model successfully demonstrates the utility of machine learning in identifying historical survival patterns. The Random Forest model achieved a high precision of 79.63% and overall accuracy of 79.33%. Key takeaways include:</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Demographic factors (Sex and Age) along with socio-economic status (Fare and Pclass) were the single biggest determinants of survival probability.</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Future improvements could incorporate Title Extraction from passenger names (e.g., Master, Miss, Mr, Dr) to capture additional social hierarchy nuances.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Hyperparameter tuning via GridSearchCV and testing alternative algorithms such as XGBoost or LightGBM could further improve recall on the positive (Survived) class.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