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666666"/>
          <w:sz w:val="22"/>
          <w:szCs w:val="22"/>
        </w:rPr>
        <w:t xml:space="preserve">ÉCOLE MAROCAINE DES SCIENCES DE L'INGÉNIEUR</w:t>
      </w:r>
    </w:p>
    <w:p>
      <w:pPr>
        <w:spacing w:after="60" w:before="0"/>
        <w:jc w:val="center"/>
      </w:pPr>
      <w:r>
        <w:rPr>
          <w:rFonts w:ascii="Arial" w:cs="Arial" w:eastAsia="Arial" w:hAnsi="Arial"/>
          <w:color w:val="888888"/>
          <w:sz w:val="20"/>
          <w:szCs w:val="20"/>
        </w:rPr>
        <w:t xml:space="preserve">Casablanca — Cycle Ingénieur Informatique</w:t>
      </w:r>
    </w:p>
    <w:p>
      <w:pPr>
        <w:pBdr>
          <w:bottom w:val="single" w:color="2E75B6" w:sz="6" w:space="8"/>
        </w:pBdr>
        <w:spacing w:after="60" w:before="600"/>
        <w:jc w:val="center"/>
      </w:pPr>
      <w:r>
        <w:rPr>
          <w:rFonts w:ascii="Arial" w:cs="Arial" w:eastAsia="Arial" w:hAnsi="Arial"/>
          <w:b/>
          <w:bCs/>
          <w:color w:val="2E75B6"/>
          <w:sz w:val="22"/>
          <w:szCs w:val="22"/>
        </w:rPr>
        <w:t xml:space="preserve">RAPPORT D'ÉTAT DE L'ART</w:t>
      </w:r>
    </w:p>
    <w:p>
      <w:pPr>
        <w:spacing w:after="120" w:before="240"/>
        <w:jc w:val="center"/>
      </w:pPr>
      <w:r>
        <w:rPr>
          <w:rFonts w:ascii="Arial" w:cs="Arial" w:eastAsia="Arial" w:hAnsi="Arial"/>
          <w:b/>
          <w:bCs/>
          <w:color w:val="1F3864"/>
          <w:sz w:val="40"/>
          <w:szCs w:val="40"/>
        </w:rPr>
        <w:t xml:space="preserve">Plateforme Intelligente de Recommandation</w:t>
      </w:r>
    </w:p>
    <w:p>
      <w:pPr>
        <w:spacing w:after="600" w:before="0"/>
        <w:jc w:val="center"/>
      </w:pPr>
      <w:r>
        <w:rPr>
          <w:rFonts w:ascii="Arial" w:cs="Arial" w:eastAsia="Arial" w:hAnsi="Arial"/>
          <w:b/>
          <w:bCs/>
          <w:color w:val="1F3864"/>
          <w:sz w:val="36"/>
          <w:szCs w:val="36"/>
        </w:rPr>
        <w:t xml:space="preserve">de Stages et d'Emplois par Intelligence Artificielle</w:t>
      </w:r>
    </w:p>
    <w:p>
      <w:pPr>
        <w:spacing w:after="60" w:before="480"/>
        <w:jc w:val="center"/>
      </w:pPr>
      <w:r>
        <w:rPr>
          <w:rFonts w:ascii="Arial" w:cs="Arial" w:eastAsia="Arial" w:hAnsi="Arial"/>
          <w:b/>
          <w:bCs/>
          <w:color w:val="2E75B6"/>
          <w:sz w:val="26"/>
          <w:szCs w:val="26"/>
        </w:rPr>
        <w:t xml:space="preserve">Projet de Fin d'Année (PFA)</w:t>
      </w:r>
    </w:p>
    <w:p>
      <w:pPr>
        <w:spacing w:after="60" w:before="480"/>
        <w:jc w:val="center"/>
      </w:pPr>
      <w:r>
        <w:rPr>
          <w:rFonts w:ascii="Arial" w:cs="Arial" w:eastAsia="Arial" w:hAnsi="Arial"/>
          <w:b/>
          <w:bCs/>
          <w:color w:val="404040"/>
          <w:sz w:val="22"/>
          <w:szCs w:val="22"/>
        </w:rPr>
        <w:t xml:space="preserve">Réalisé par :</w:t>
      </w:r>
    </w:p>
    <w:p>
      <w:pPr>
        <w:spacing w:after="40" w:before="0"/>
        <w:jc w:val="center"/>
      </w:pPr>
      <w:r>
        <w:rPr>
          <w:rFonts w:ascii="Arial" w:cs="Arial" w:eastAsia="Arial" w:hAnsi="Arial"/>
          <w:b/>
          <w:bCs/>
          <w:color w:val="1F3864"/>
          <w:sz w:val="24"/>
          <w:szCs w:val="24"/>
        </w:rPr>
        <w:t xml:space="preserve">Ayman Ould-Naghouch  •  El Mehdi Ribahi</w:t>
      </w:r>
    </w:p>
    <w:p>
      <w:pPr>
        <w:spacing w:after="60" w:before="240"/>
        <w:jc w:val="center"/>
      </w:pPr>
      <w:r>
        <w:rPr>
          <w:rFonts w:ascii="Arial" w:cs="Arial" w:eastAsia="Arial" w:hAnsi="Arial"/>
          <w:b/>
          <w:bCs/>
          <w:color w:val="404040"/>
          <w:sz w:val="22"/>
          <w:szCs w:val="22"/>
        </w:rPr>
        <w:t xml:space="preserve">Encadrant :</w:t>
      </w:r>
    </w:p>
    <w:p>
      <w:pPr>
        <w:spacing w:after="40" w:before="0"/>
        <w:jc w:val="center"/>
      </w:pPr>
      <w:r>
        <w:rPr>
          <w:rFonts w:ascii="Arial" w:cs="Arial" w:eastAsia="Arial" w:hAnsi="Arial"/>
          <w:b/>
          <w:bCs/>
          <w:color w:val="1F3864"/>
          <w:sz w:val="24"/>
          <w:szCs w:val="24"/>
        </w:rPr>
        <w:t xml:space="preserve">M. Gamal Mohammed</w:t>
      </w:r>
    </w:p>
    <w:p>
      <w:pPr>
        <w:spacing w:after="60" w:before="480"/>
        <w:jc w:val="center"/>
      </w:pPr>
      <w:r>
        <w:rPr>
          <w:rFonts w:ascii="Arial" w:cs="Arial" w:eastAsia="Arial" w:hAnsi="Arial"/>
          <w:color w:val="404040"/>
          <w:sz w:val="22"/>
          <w:szCs w:val="22"/>
        </w:rPr>
        <w:t xml:space="preserve">Année Universitaire : 2024–2025</w:t>
      </w:r>
    </w:p>
    <w:p>
      <w:r>
        <w:br w:type="page"/>
      </w:r>
    </w:p>
    <w:p>
      <w:pPr>
        <w:pStyle w:val="Heading1"/>
        <w:pBdr>
          <w:bottom w:val="single" w:color="2E75B6" w:sz="4" w:space="6"/>
        </w:pBdr>
        <w:spacing w:after="180" w:before="360"/>
      </w:pPr>
      <w:r>
        <w:rPr>
          <w:rFonts w:ascii="Arial" w:cs="Arial" w:eastAsia="Arial" w:hAnsi="Arial"/>
          <w:b/>
          <w:bCs/>
          <w:color w:val="1F3864"/>
          <w:sz w:val="32"/>
          <w:szCs w:val="32"/>
        </w:rPr>
        <w:t xml:space="preserve">1. Contexte : L'évolution du E-Recrutement</w:t>
      </w:r>
    </w:p>
    <w:p>
      <w:pPr>
        <w:spacing w:after="80" w:before="80"/>
        <w:jc w:val="both"/>
      </w:pPr>
      <w:r>
        <w:rPr>
          <w:rFonts w:ascii="Arial" w:cs="Arial" w:eastAsia="Arial" w:hAnsi="Arial"/>
          <w:color w:val="404040"/>
          <w:sz w:val="22"/>
          <w:szCs w:val="22"/>
        </w:rPr>
        <w:t xml:space="preserve">Le marché des plateformes d'emploi a considérablement évolué, passant de simples </w:t>
      </w:r>
      <w:r>
        <w:rPr>
          <w:rFonts w:ascii="Arial" w:cs="Arial" w:eastAsia="Arial" w:hAnsi="Arial"/>
          <w:b/>
          <w:bCs/>
          <w:color w:val="404040"/>
          <w:sz w:val="22"/>
          <w:szCs w:val="22"/>
        </w:rPr>
        <w:t xml:space="preserve">Job Boards</w:t>
      </w:r>
      <w:r>
        <w:rPr>
          <w:rFonts w:ascii="Arial" w:cs="Arial" w:eastAsia="Arial" w:hAnsi="Arial"/>
          <w:color w:val="404040"/>
          <w:sz w:val="22"/>
          <w:szCs w:val="22"/>
        </w:rPr>
        <w:t xml:space="preserve"> — tableaux d'affichage d'offres où l'utilisateur effectuait une recherche manuelle par mots-clés — vers des </w:t>
      </w:r>
      <w:r>
        <w:rPr>
          <w:rFonts w:ascii="Arial" w:cs="Arial" w:eastAsia="Arial" w:hAnsi="Arial"/>
          <w:b/>
          <w:bCs/>
          <w:color w:val="2E75B6"/>
          <w:sz w:val="22"/>
          <w:szCs w:val="22"/>
        </w:rPr>
        <w:t xml:space="preserve">Job Recommender Systems (JRS)</w:t>
      </w:r>
      <w:r>
        <w:rPr>
          <w:rFonts w:ascii="Arial" w:cs="Arial" w:eastAsia="Arial" w:hAnsi="Arial"/>
          <w:color w:val="404040"/>
          <w:sz w:val="22"/>
          <w:szCs w:val="22"/>
        </w:rPr>
        <w:t xml:space="preserve"> proactifs et intelligents.</w:t>
      </w:r>
    </w:p>
    <w:p>
      <w:pPr>
        <w:spacing w:after="60" w:before="60"/>
      </w:pPr>
      <w:r>
        <w:t xml:space="preserve"/>
      </w:r>
    </w:p>
    <w:p>
      <w:pPr>
        <w:spacing w:after="80" w:before="80"/>
        <w:jc w:val="both"/>
      </w:pPr>
      <w:r>
        <w:rPr>
          <w:rFonts w:ascii="Arial" w:cs="Arial" w:eastAsia="Arial" w:hAnsi="Arial"/>
          <w:color w:val="404040"/>
          <w:sz w:val="22"/>
          <w:szCs w:val="22"/>
        </w:rPr>
        <w:t xml:space="preserve">Aujourd'hui, l'état de l'art consiste à inverser le paradigme : ce n'est plus seulement l'étudiant qui cherche le stage, mais la </w:t>
      </w:r>
      <w:r>
        <w:rPr>
          <w:rFonts w:ascii="Arial" w:cs="Arial" w:eastAsia="Arial" w:hAnsi="Arial"/>
          <w:b/>
          <w:bCs/>
          <w:color w:val="404040"/>
          <w:sz w:val="22"/>
          <w:szCs w:val="22"/>
        </w:rPr>
        <w:t xml:space="preserve">plateforme qui pousse le stage le plus pertinent</w:t>
      </w:r>
      <w:r>
        <w:rPr>
          <w:rFonts w:ascii="Arial" w:cs="Arial" w:eastAsia="Arial" w:hAnsi="Arial"/>
          <w:color w:val="404040"/>
          <w:sz w:val="22"/>
          <w:szCs w:val="22"/>
        </w:rPr>
        <w:t xml:space="preserve"> vers l'étudiant en comprenant son profil de manière intelligente et contextuelle.</w:t>
      </w:r>
    </w:p>
    <w:p>
      <w:pPr>
        <w:spacing w:after="60" w:before="60"/>
      </w:pPr>
      <w:r>
        <w:t xml:space="preserve"/>
      </w:r>
    </w:p>
    <w:p>
      <w:pPr>
        <w:pStyle w:val="Heading1"/>
        <w:pBdr>
          <w:bottom w:val="single" w:color="2E75B6" w:sz="4" w:space="6"/>
        </w:pBdr>
        <w:spacing w:after="180" w:before="360"/>
      </w:pPr>
      <w:r>
        <w:rPr>
          <w:rFonts w:ascii="Arial" w:cs="Arial" w:eastAsia="Arial" w:hAnsi="Arial"/>
          <w:b/>
          <w:bCs/>
          <w:color w:val="1F3864"/>
          <w:sz w:val="32"/>
          <w:szCs w:val="32"/>
        </w:rPr>
        <w:t xml:space="preserve">2. Extraction d'Informations (Resume Parsing)</w:t>
      </w:r>
    </w:p>
    <w:p>
      <w:pPr>
        <w:spacing w:after="80" w:before="80"/>
        <w:jc w:val="both"/>
      </w:pPr>
      <w:r>
        <w:rPr>
          <w:rFonts w:ascii="Arial" w:cs="Arial" w:eastAsia="Arial" w:hAnsi="Arial"/>
          <w:color w:val="404040"/>
          <w:sz w:val="22"/>
          <w:szCs w:val="22"/>
        </w:rPr>
        <w:t xml:space="preserve">Avant de pouvoir recommander, le système doit comprendre le CV (souvent en format PDF ou DOCX) et l'offre d'emploi. Deux approches principales coexistent dans la littérature :</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Approche Classique</w:t>
      </w:r>
    </w:p>
    <w:p>
      <w:pPr>
        <w:pStyle w:val="ListParagraph"/>
        <w:numPr>
          <w:ilvl w:val="0"/>
          <w:numId w:val="2"/>
        </w:numPr>
        <w:spacing w:after="60" w:before="60"/>
      </w:pPr>
      <w:r>
        <w:rPr>
          <w:rFonts w:ascii="Arial" w:cs="Arial" w:eastAsia="Arial" w:hAnsi="Arial"/>
          <w:b w:val="false"/>
          <w:bCs w:val="false"/>
          <w:color w:val="404040"/>
          <w:sz w:val="22"/>
          <w:szCs w:val="22"/>
        </w:rPr>
        <w:t xml:space="preserve">Utilisation d'expressions régulières (Regex) ou de systèmes à base de règles.</w:t>
      </w:r>
    </w:p>
    <w:p>
      <w:pPr>
        <w:pStyle w:val="ListParagraph"/>
        <w:numPr>
          <w:ilvl w:val="0"/>
          <w:numId w:val="2"/>
        </w:numPr>
        <w:spacing w:after="60" w:before="60"/>
      </w:pPr>
      <w:r>
        <w:rPr>
          <w:rFonts w:ascii="Arial" w:cs="Arial" w:eastAsia="Arial" w:hAnsi="Arial"/>
          <w:b w:val="false"/>
          <w:bCs w:val="false"/>
          <w:color w:val="404040"/>
          <w:sz w:val="22"/>
          <w:szCs w:val="22"/>
        </w:rPr>
        <w:t xml:space="preserve">Extraction des emails, numéros de téléphone, et diplômes.</w:t>
      </w:r>
    </w:p>
    <w:p>
      <w:pPr>
        <w:spacing w:after="60" w:before="60"/>
      </w:pPr>
      <w:r>
        <w:t xml:space="preserve"/>
      </w:r>
    </w:p>
    <w:p>
      <w:pPr>
        <w:pStyle w:val="Heading3"/>
        <w:spacing w:after="80" w:before="180"/>
      </w:pPr>
      <w:r>
        <w:rPr>
          <w:rFonts w:ascii="Arial" w:cs="Arial" w:eastAsia="Arial" w:hAnsi="Arial"/>
          <w:b/>
          <w:bCs/>
          <w:color w:val="404040"/>
          <w:sz w:val="22"/>
          <w:szCs w:val="22"/>
        </w:rPr>
        <w:t xml:space="preserve">Approche État de l'Art (NLP)</w:t>
      </w:r>
    </w:p>
    <w:p>
      <w:pPr>
        <w:pStyle w:val="ListParagraph"/>
        <w:numPr>
          <w:ilvl w:val="0"/>
          <w:numId w:val="2"/>
        </w:numPr>
        <w:spacing w:after="60" w:before="60"/>
      </w:pPr>
      <w:r>
        <w:rPr>
          <w:rFonts w:ascii="Arial" w:cs="Arial" w:eastAsia="Arial" w:hAnsi="Arial"/>
          <w:b w:val="false"/>
          <w:bCs w:val="false"/>
          <w:color w:val="404040"/>
          <w:sz w:val="22"/>
          <w:szCs w:val="22"/>
        </w:rPr>
        <w:t xml:space="preserve">Utilisation de l'extraction d'entités nommées (NER — Named Entity Recognition).</w:t>
      </w:r>
    </w:p>
    <w:p>
      <w:pPr>
        <w:pStyle w:val="ListParagraph"/>
        <w:numPr>
          <w:ilvl w:val="0"/>
          <w:numId w:val="2"/>
        </w:numPr>
        <w:spacing w:after="60" w:before="60"/>
      </w:pPr>
      <w:r>
        <w:rPr>
          <w:rFonts w:ascii="Arial" w:cs="Arial" w:eastAsia="Arial" w:hAnsi="Arial"/>
          <w:b w:val="false"/>
          <w:bCs w:val="false"/>
          <w:color w:val="404040"/>
          <w:sz w:val="22"/>
          <w:szCs w:val="22"/>
        </w:rPr>
        <w:t xml:space="preserve">Bibliothèques : SpaCy ou NLTK pour identifier dynamiquement les compétences (Hard Skills / Soft Skills).</w:t>
      </w:r>
    </w:p>
    <w:p>
      <w:pPr>
        <w:pStyle w:val="ListParagraph"/>
        <w:numPr>
          <w:ilvl w:val="0"/>
          <w:numId w:val="2"/>
        </w:numPr>
        <w:spacing w:after="60" w:before="60"/>
      </w:pPr>
      <w:r>
        <w:rPr>
          <w:rFonts w:ascii="Arial" w:cs="Arial" w:eastAsia="Arial" w:hAnsi="Arial"/>
          <w:b w:val="false"/>
          <w:bCs w:val="false"/>
          <w:color w:val="404040"/>
          <w:sz w:val="22"/>
          <w:szCs w:val="22"/>
        </w:rPr>
        <w:t xml:space="preserve">Identification des années d'expérience et des technologies maîtrisées.</w:t>
      </w:r>
    </w:p>
    <w:p>
      <w:pPr>
        <w:pStyle w:val="ListParagraph"/>
        <w:numPr>
          <w:ilvl w:val="0"/>
          <w:numId w:val="2"/>
        </w:numPr>
        <w:spacing w:after="60" w:before="60"/>
      </w:pPr>
      <w:r>
        <w:rPr>
          <w:rFonts w:ascii="Arial" w:cs="Arial" w:eastAsia="Arial" w:hAnsi="Arial"/>
          <w:b w:val="false"/>
          <w:bCs w:val="false"/>
          <w:color w:val="404040"/>
          <w:sz w:val="22"/>
          <w:szCs w:val="22"/>
        </w:rPr>
        <w:t xml:space="preserve">Modèles avancés : architectures Transformers (RoBERTa, LayoutLM) pour comprendre la structure visuelle du PDF.</w:t>
      </w:r>
    </w:p>
    <w:p>
      <w:pPr>
        <w:spacing w:after="60" w:before="60"/>
      </w:pPr>
      <w:r>
        <w:t xml:space="preserve"/>
      </w:r>
    </w:p>
    <w:p>
      <w:pPr>
        <w:pStyle w:val="Heading1"/>
        <w:pBdr>
          <w:bottom w:val="single" w:color="2E75B6" w:sz="4" w:space="6"/>
        </w:pBdr>
        <w:spacing w:after="180" w:before="360"/>
      </w:pPr>
      <w:r>
        <w:rPr>
          <w:rFonts w:ascii="Arial" w:cs="Arial" w:eastAsia="Arial" w:hAnsi="Arial"/>
          <w:b/>
          <w:bCs/>
          <w:color w:val="1F3864"/>
          <w:sz w:val="32"/>
          <w:szCs w:val="32"/>
        </w:rPr>
        <w:t xml:space="preserve">3. Algorithmes de Matching CV – Offre d'Emploi</w:t>
      </w:r>
    </w:p>
    <w:p>
      <w:pPr>
        <w:spacing w:after="80" w:before="80"/>
        <w:jc w:val="both"/>
      </w:pPr>
      <w:r>
        <w:rPr>
          <w:rFonts w:ascii="Arial" w:cs="Arial" w:eastAsia="Arial" w:hAnsi="Arial"/>
          <w:color w:val="404040"/>
          <w:sz w:val="22"/>
          <w:szCs w:val="22"/>
        </w:rPr>
        <w:t xml:space="preserve">Il s'agit du cœur du projet. L'objectif est de calculer un « score de compatibilité » entre un candidat et une offre. La littérature distingue trois grandes familles d'approches :</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Modèles Fréquentiels : TF-IDF et Similarité Cosinus (Approche du projet)</w:t>
      </w:r>
    </w:p>
    <w:p>
      <w:pPr>
        <w:spacing w:after="80" w:before="80"/>
        <w:jc w:val="both"/>
      </w:pPr>
      <w:r>
        <w:rPr>
          <w:rFonts w:ascii="Arial" w:cs="Arial" w:eastAsia="Arial" w:hAnsi="Arial"/>
          <w:b/>
          <w:bCs/>
          <w:color w:val="404040"/>
          <w:sz w:val="22"/>
          <w:szCs w:val="22"/>
        </w:rPr>
        <w:t xml:space="preserve">Principe : </w:t>
      </w:r>
      <w:r>
        <w:rPr>
          <w:rFonts w:ascii="Arial" w:cs="Arial" w:eastAsia="Arial" w:hAnsi="Arial"/>
          <w:color w:val="404040"/>
          <w:sz w:val="22"/>
          <w:szCs w:val="22"/>
        </w:rPr>
        <w:t xml:space="preserve">Le texte du CV et de l'offre sont transformés en vecteurs mathématiques.</w:t>
      </w:r>
    </w:p>
    <w:p>
      <w:pPr>
        <w:spacing w:after="60" w:before="60"/>
      </w:pPr>
      <w:r>
        <w:t xml:space="preserve"/>
      </w:r>
    </w:p>
    <w:p>
      <w:pPr>
        <w:spacing w:after="80" w:before="80"/>
        <w:jc w:val="both"/>
      </w:pPr>
      <w:r>
        <w:rPr>
          <w:rFonts w:ascii="Arial" w:cs="Arial" w:eastAsia="Arial" w:hAnsi="Arial"/>
          <w:b/>
          <w:bCs/>
          <w:color w:val="2E75B6"/>
          <w:sz w:val="22"/>
          <w:szCs w:val="22"/>
        </w:rPr>
        <w:t xml:space="preserve">TF-IDF </w:t>
      </w:r>
      <w:r>
        <w:rPr>
          <w:rFonts w:ascii="Arial" w:cs="Arial" w:eastAsia="Arial" w:hAnsi="Arial"/>
          <w:color w:val="404040"/>
          <w:sz w:val="22"/>
          <w:szCs w:val="22"/>
        </w:rPr>
        <w:t xml:space="preserve">(Term Frequency-Inverse Document Frequency) </w:t>
      </w:r>
      <w:r>
        <w:rPr>
          <w:rFonts w:ascii="Arial" w:cs="Arial" w:eastAsia="Arial" w:hAnsi="Arial"/>
          <w:color w:val="404040"/>
          <w:sz w:val="22"/>
          <w:szCs w:val="22"/>
        </w:rPr>
        <w:t xml:space="preserve">donne un poids important aux mots rares et pertinents (ex : « Django », « PostgreSQL ») et ignore les mots courants (ex : « le », « et »). La </w:t>
      </w:r>
      <w:r>
        <w:rPr>
          <w:rFonts w:ascii="Arial" w:cs="Arial" w:eastAsia="Arial" w:hAnsi="Arial"/>
          <w:b/>
          <w:bCs/>
          <w:color w:val="2E75B6"/>
          <w:sz w:val="22"/>
          <w:szCs w:val="22"/>
        </w:rPr>
        <w:t xml:space="preserve">Similarité Cosinus </w:t>
      </w:r>
      <w:r>
        <w:rPr>
          <w:rFonts w:ascii="Arial" w:cs="Arial" w:eastAsia="Arial" w:hAnsi="Arial"/>
          <w:color w:val="404040"/>
          <w:sz w:val="22"/>
          <w:szCs w:val="22"/>
        </w:rPr>
        <w:t xml:space="preserve">calcule ensuite l'angle entre ces deux vecteurs. Plus l'angle est proche de 0°, plus la similarité est proche de 100 %.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Avantages</w:t>
            </w:r>
          </w:p>
        </w:tc>
        <w:tc>
          <w:tcPr>
            <w:tcW w:type="dxa" w:w="4513"/>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Limites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Extrêmement rapide et facile à implémenter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Ne comprend pas la sémantique</w:t>
            </w:r>
          </w:p>
        </w:tc>
      </w:tr>
      <w:tr>
        <w:tc>
          <w:tcPr>
            <w:tcW w:type="dxa" w:w="451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Ne nécessite pas de GPU coûteux</w:t>
            </w:r>
          </w:p>
        </w:tc>
        <w:tc>
          <w:tcPr>
            <w:tcW w:type="dxa" w:w="4513"/>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Ne relie pas nativement « Machine Learning » et « Intelligence Artificielle »</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Excellent pour le matching basé sur les compétences techniques dures (mots-clés)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Sensible à la formulation exacte des termes utilisés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Modèles de Plongement Lexical (Word Embeddings)</w:t>
      </w:r>
    </w:p>
    <w:p>
      <w:pPr>
        <w:spacing w:after="80" w:before="80"/>
        <w:jc w:val="both"/>
      </w:pPr>
      <w:r>
        <w:rPr>
          <w:rFonts w:ascii="Arial" w:cs="Arial" w:eastAsia="Arial" w:hAnsi="Arial"/>
          <w:b/>
          <w:bCs/>
          <w:color w:val="2E75B6"/>
          <w:sz w:val="22"/>
          <w:szCs w:val="22"/>
        </w:rPr>
        <w:t xml:space="preserve">Word2Vec / GloVe : </w:t>
      </w:r>
      <w:r>
        <w:rPr>
          <w:rFonts w:ascii="Arial" w:cs="Arial" w:eastAsia="Arial" w:hAnsi="Arial"/>
          <w:color w:val="404040"/>
          <w:sz w:val="22"/>
          <w:szCs w:val="22"/>
        </w:rPr>
        <w:t xml:space="preserve">Ces modèles représentent les mots dans un espace vectoriel dense où les mots de sens proche sont géométriquement proches. Ils résolvent efficacement le problème des synonymes, limitation inhérente de l'approche TF-IDF.</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L'état de l'art actuel : Deep Learning et LLMs</w:t>
      </w:r>
    </w:p>
    <w:p>
      <w:pPr>
        <w:pStyle w:val="ListParagraph"/>
        <w:numPr>
          <w:ilvl w:val="0"/>
          <w:numId w:val="2"/>
        </w:numPr>
        <w:spacing w:after="60" w:before="60"/>
      </w:pPr>
      <w:r>
        <w:rPr>
          <w:rFonts w:ascii="Arial" w:cs="Arial" w:eastAsia="Arial" w:hAnsi="Arial"/>
          <w:b w:val="false"/>
          <w:bCs w:val="false"/>
          <w:color w:val="404040"/>
          <w:sz w:val="22"/>
          <w:szCs w:val="22"/>
        </w:rPr>
        <w:t xml:space="preserve">Les systèmes les plus avancés (LinkedIn, Indeed) utilisent des modèles Multi-Towers (Réseaux de neurones siamois) basés sur BERT (ex : Sentence-BERT) pour comprendre le contexte global des phrases du CV.</w:t>
      </w:r>
    </w:p>
    <w:p>
      <w:pPr>
        <w:pStyle w:val="ListParagraph"/>
        <w:numPr>
          <w:ilvl w:val="0"/>
          <w:numId w:val="2"/>
        </w:numPr>
        <w:spacing w:after="60" w:before="60"/>
      </w:pPr>
      <w:r>
        <w:rPr>
          <w:rFonts w:ascii="Arial" w:cs="Arial" w:eastAsia="Arial" w:hAnsi="Arial"/>
          <w:b w:val="false"/>
          <w:bCs w:val="false"/>
          <w:color w:val="404040"/>
          <w:sz w:val="22"/>
          <w:szCs w:val="22"/>
        </w:rPr>
        <w:t xml:space="preserve">Intégration des LLMs (IA Générative) : modèles de type GPT pour générer des synthèses de profil ou justifier au candidat pourquoi ce stage lui est recommandé (« Explainable AI »).</w:t>
      </w:r>
    </w:p>
    <w:p>
      <w:pPr>
        <w:spacing w:after="60" w:before="60"/>
      </w:pPr>
      <w:r>
        <w:t xml:space="preserve"/>
      </w:r>
    </w:p>
    <w:p>
      <w:pPr>
        <w:pStyle w:val="Heading1"/>
        <w:pBdr>
          <w:bottom w:val="single" w:color="2E75B6" w:sz="4" w:space="6"/>
        </w:pBdr>
        <w:spacing w:after="180" w:before="360"/>
      </w:pPr>
      <w:r>
        <w:rPr>
          <w:rFonts w:ascii="Arial" w:cs="Arial" w:eastAsia="Arial" w:hAnsi="Arial"/>
          <w:b/>
          <w:bCs/>
          <w:color w:val="1F3864"/>
          <w:sz w:val="32"/>
          <w:szCs w:val="32"/>
        </w:rPr>
        <w:t xml:space="preserve">4. Architectures des Systèmes de Recommandation</w:t>
      </w:r>
    </w:p>
    <w:p>
      <w:pPr>
        <w:spacing w:after="80" w:before="80"/>
        <w:jc w:val="both"/>
      </w:pPr>
      <w:r>
        <w:rPr>
          <w:rFonts w:ascii="Arial" w:cs="Arial" w:eastAsia="Arial" w:hAnsi="Arial"/>
          <w:color w:val="404040"/>
          <w:sz w:val="22"/>
          <w:szCs w:val="22"/>
        </w:rPr>
        <w:t xml:space="preserve">La littérature scientifique divise les systèmes de recommandation d'emploi en trois catégories principales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c>
          <w:tcPr>
            <w:tcW w:type="dxa" w:w="22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Architecture</w:t>
            </w:r>
          </w:p>
        </w:tc>
        <w:tc>
          <w:tcPr>
            <w:tcW w:type="dxa" w:w="37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126"/>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Caractéristiques</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Filtrage basé sur le contenu (Content-Based Filtering)</w:t>
            </w:r>
          </w:p>
        </w:tc>
        <w:tc>
          <w:tcPr>
            <w:tcW w:type="dxa" w:w="3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Recommande des offres similaires au profil du candidat. C'est l'approche du moteur NLP TF-IDF du projet.</w:t>
            </w:r>
          </w:p>
        </w:tc>
        <w:tc>
          <w:tcPr>
            <w:tcW w:type="dxa" w:w="31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Simple, interprétable, efficace en démarrage à froid côté offres.</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Filtrage Collaboratif (Collaborative Filtering)</w:t>
            </w:r>
          </w:p>
        </w:tc>
        <w:tc>
          <w:tcPr>
            <w:tcW w:type="dxa" w:w="37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Recommande des offres basées sur le comportement des autres utilisateurs (ex : « Les étudiants qui ont postulé à ce stage ont aussi postulé à celui-ci »).</w:t>
            </w:r>
          </w:p>
        </w:tc>
        <w:tc>
          <w:tcPr>
            <w:tcW w:type="dxa" w:w="31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Nécessite un historique d'utilisation conséquent.</w:t>
            </w:r>
          </w:p>
        </w:tc>
      </w:tr>
      <w:tr>
        <w:tc>
          <w:tcPr>
            <w:tcW w:type="dxa" w:w="22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Systèmes Hybrides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L'état de l'art absolu. Combine le NLP (Content-based) avec l'historique des clics (Collaborative) pour résoudre le problème du « Cold Start ».</w:t>
            </w:r>
          </w:p>
        </w:tc>
        <w:tc>
          <w:tcPr>
            <w:tcW w:type="dxa" w:w="31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Robuste, scalable, optimal pour les plateformes matures.</w:t>
            </w:r>
          </w:p>
        </w:tc>
      </w:tr>
    </w:tbl>
    <w:p>
      <w:pPr>
        <w:spacing w:after="60" w:before="60"/>
      </w:pPr>
      <w:r>
        <w:t xml:space="preserve"/>
      </w:r>
    </w:p>
    <w:p>
      <w:pPr>
        <w:spacing w:after="80" w:before="80"/>
        <w:jc w:val="both"/>
      </w:pPr>
      <w:r>
        <w:rPr>
          <w:rFonts w:ascii="Arial" w:cs="Arial" w:eastAsia="Arial" w:hAnsi="Arial"/>
          <w:b/>
          <w:bCs/>
          <w:color w:val="2E75B6"/>
          <w:sz w:val="20"/>
          <w:szCs w:val="20"/>
        </w:rPr>
        <w:t xml:space="preserve">Note : </w:t>
      </w:r>
      <w:r>
        <w:rPr>
          <w:rFonts w:ascii="Arial" w:cs="Arial" w:eastAsia="Arial" w:hAnsi="Arial"/>
          <w:i/>
          <w:iCs/>
          <w:color w:val="404040"/>
          <w:sz w:val="20"/>
          <w:szCs w:val="20"/>
        </w:rPr>
        <w:t xml:space="preserve">Le problème du « Cold Start » (démarrage à froid) se produit lorsque la plateforme ne dispose pas encore d'assez d'utilisateurs ou d'historique pour effectuer un filtrage collaboratif efficace. L'approche hybride est précisément conçue pour y remédier.</w:t>
      </w:r>
    </w:p>
    <w:p>
      <w:pPr>
        <w:spacing w:after="60" w:before="60"/>
      </w:pPr>
      <w:r>
        <w:t xml:space="preserve"/>
      </w:r>
    </w:p>
    <w:p>
      <w:pPr>
        <w:pStyle w:val="Heading1"/>
        <w:pBdr>
          <w:bottom w:val="single" w:color="2E75B6" w:sz="4" w:space="6"/>
        </w:pBdr>
        <w:spacing w:after="180" w:before="360"/>
      </w:pPr>
      <w:r>
        <w:rPr>
          <w:rFonts w:ascii="Arial" w:cs="Arial" w:eastAsia="Arial" w:hAnsi="Arial"/>
          <w:b/>
          <w:bCs/>
          <w:color w:val="1F3864"/>
          <w:sz w:val="32"/>
          <w:szCs w:val="32"/>
        </w:rPr>
        <w:t xml:space="preserve">5. Nouvelles Tendances Intégrées au Projet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Intelligence Artificielle Conversationnelle (Coaching)</w:t>
      </w:r>
    </w:p>
    <w:p>
      <w:pPr>
        <w:spacing w:after="80" w:before="80"/>
        <w:jc w:val="both"/>
      </w:pPr>
      <w:r>
        <w:rPr>
          <w:rFonts w:ascii="Arial" w:cs="Arial" w:eastAsia="Arial" w:hAnsi="Arial"/>
          <w:color w:val="404040"/>
          <w:sz w:val="22"/>
          <w:szCs w:val="22"/>
        </w:rPr>
        <w:t xml:space="preserve">L'ajout de chatbots pour aider les étudiants à préparer leurs entretiens, en se basant sur les offres scrapées, constitue une tendance forte observée dans la littérature de 2023–2024. Cette approche enrichit l'expérience utilisateur en allant au-delà de la simple recommandation.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Analyse du Marché (Market Trends)</w:t>
      </w:r>
    </w:p>
    <w:p>
      <w:pPr>
        <w:spacing w:after="80" w:before="80"/>
        <w:jc w:val="both"/>
      </w:pPr>
      <w:r>
        <w:rPr>
          <w:rFonts w:ascii="Arial" w:cs="Arial" w:eastAsia="Arial" w:hAnsi="Arial"/>
          <w:color w:val="404040"/>
          <w:sz w:val="22"/>
          <w:szCs w:val="22"/>
        </w:rPr>
        <w:t xml:space="preserve">L'utilisation des données scrapées pour fournir des graphiques analytiques transforme un simple « Job Board » en un véritable outil d'aide à la décision stratégique. Exemple : « Les 5 compétences les plus demandées à Casablanca ce mois-ci ».</w:t>
      </w:r>
    </w:p>
    <w:p>
      <w:pPr>
        <w:spacing w:after="60" w:before="60"/>
      </w:pPr>
      <w:r>
        <w:t xml:space="preserve"/>
      </w:r>
    </w:p>
    <w:p>
      <w:pPr>
        <w:pStyle w:val="Heading1"/>
        <w:pBdr>
          <w:bottom w:val="single" w:color="2E75B6" w:sz="4" w:space="6"/>
        </w:pBdr>
        <w:spacing w:after="180" w:before="360"/>
      </w:pPr>
      <w:r>
        <w:rPr>
          <w:rFonts w:ascii="Arial" w:cs="Arial" w:eastAsia="Arial" w:hAnsi="Arial"/>
          <w:b/>
          <w:bCs/>
          <w:color w:val="1F3864"/>
          <w:sz w:val="32"/>
          <w:szCs w:val="32"/>
        </w:rPr>
        <w:t xml:space="preserve">6. Articles Scientifiques de Référence</w:t>
      </w:r>
    </w:p>
    <w:p>
      <w:pPr>
        <w:spacing w:after="80" w:before="80"/>
        <w:jc w:val="both"/>
      </w:pPr>
      <w:r>
        <w:rPr>
          <w:rFonts w:ascii="Arial" w:cs="Arial" w:eastAsia="Arial" w:hAnsi="Arial"/>
          <w:color w:val="404040"/>
          <w:sz w:val="22"/>
          <w:szCs w:val="22"/>
        </w:rPr>
        <w:t xml:space="preserve">Le tableau ci-dessous recense les principales références bibliographiques retenues pour ce projet, classées par thématique. Ces articles constituent la base académique justifiant les choix technologiques retenus.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26"/>
        <w:gridCol w:w="2400"/>
      </w:tblGrid>
      <w:tr>
        <w:tc>
          <w:tcPr>
            <w:tcW w:type="dxa" w:w="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Titre de l'Article</w:t>
            </w:r>
          </w:p>
        </w:tc>
        <w:tc>
          <w:tcPr>
            <w:tcW w:type="dxa" w:w="2826"/>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Thématique</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Pertinence pour le projet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color w:val="404040"/>
                <w:sz w:val="20"/>
                <w:szCs w:val="20"/>
              </w:rPr>
              <w:t xml:space="preserve">1</w:t>
            </w:r>
          </w:p>
        </w:tc>
        <w:tc>
          <w:tcPr>
            <w:tcW w:type="dxa" w:w="34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A Content-Based Job Recommendation System Using TF-IDF and Cosine Similarity</w:t>
            </w:r>
          </w:p>
        </w:tc>
        <w:tc>
          <w:tcPr>
            <w:tcW w:type="dxa" w:w="2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Approche TF-IDF &amp; Similarité Cosinus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Justifie le choix technique initial pour le matching. Prouve que TF-IDF est une baseline solide et performante.</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center"/>
            </w:pPr>
            <w:r>
              <w:rPr>
                <w:rFonts w:ascii="Arial" w:cs="Arial" w:eastAsia="Arial" w:hAnsi="Arial"/>
                <w:color w:val="404040"/>
                <w:sz w:val="20"/>
                <w:szCs w:val="20"/>
              </w:rPr>
              <w:t xml:space="preserve">2</w:t>
            </w:r>
          </w:p>
        </w:tc>
        <w:tc>
          <w:tcPr>
            <w:tcW w:type="dxa" w:w="34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Resume Parsing and Job Matching Using Natural Language Processing Techniques</w:t>
            </w:r>
          </w:p>
        </w:tc>
        <w:tc>
          <w:tcPr>
            <w:tcW w:type="dxa" w:w="2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NLP — Extraction d'information</w:t>
            </w:r>
          </w:p>
        </w:tc>
        <w:tc>
          <w:tcPr>
            <w:tcW w:type="dxa" w:w="24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Traite de l'extraction de données à partir de CV et de l'alignement avec les descriptions de poste via les méthodes NLP classiques.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color w:val="404040"/>
                <w:sz w:val="20"/>
                <w:szCs w:val="20"/>
              </w:rPr>
              <w:t xml:space="preserve">3</w:t>
            </w:r>
          </w:p>
        </w:tc>
        <w:tc>
          <w:tcPr>
            <w:tcW w:type="dxa" w:w="34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Job Recommendation Systems: A Survey / State-of-the-Art in E-Recruitment Recommender Systems</w:t>
            </w:r>
          </w:p>
        </w:tc>
        <w:tc>
          <w:tcPr>
            <w:tcW w:type="dxa" w:w="2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Systèmes de recommandation d'emploi (Survey)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Compare les architectures Content-based, Collaborative et Hybride. Indispensable pour la partie État de l'Art du rapport.</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center"/>
            </w:pPr>
            <w:r>
              <w:rPr>
                <w:rFonts w:ascii="Arial" w:cs="Arial" w:eastAsia="Arial" w:hAnsi="Arial"/>
                <w:color w:val="404040"/>
                <w:sz w:val="20"/>
                <w:szCs w:val="20"/>
              </w:rPr>
              <w:t xml:space="preserve">4</w:t>
            </w:r>
          </w:p>
        </w:tc>
        <w:tc>
          <w:tcPr>
            <w:tcW w:type="dxa" w:w="34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Deep Learning for Job Recommendation Systems: A Review</w:t>
            </w:r>
          </w:p>
        </w:tc>
        <w:tc>
          <w:tcPr>
            <w:tcW w:type="dxa" w:w="2826"/>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Deep Learning &amp; Perspectives d'évolution</w:t>
            </w:r>
          </w:p>
        </w:tc>
        <w:tc>
          <w:tcPr>
            <w:tcW w:type="dxa" w:w="2400"/>
            <w:tcBorders>
              <w:top w:val="single" w:color="AAAAAA" w:sz="1"/>
              <w:left w:val="single" w:color="AAAAAA" w:sz="1"/>
              <w:bottom w:val="single" w:color="AAAAAA" w:sz="1"/>
              <w:right w:val="single" w:color="AAAAAA" w:sz="1"/>
            </w:tcBorders>
            <w:shd w:fill="D6E4F0"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Montre vers quoi la plateforme pourrait évoluer à l'avenir (réseaux de neurones, Word Embeddings, BERT).</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color w:val="404040"/>
                <w:sz w:val="20"/>
                <w:szCs w:val="20"/>
              </w:rPr>
              <w:t xml:space="preserve">5</w:t>
            </w:r>
          </w:p>
        </w:tc>
        <w:tc>
          <w:tcPr>
            <w:tcW w:type="dxa" w:w="3400"/>
            <w:tcBorders>
              <w:top w:val="single" w:color="AAAAAA" w:sz="1"/>
              <w:left w:val="single" w:color="AAAAAA" w:sz="1"/>
              <w:bottom w:val="single" w:color="AAAAAA" w:sz="1"/>
              <w:right w:val="single" w:color="AAAAAA" w:sz="1"/>
            </w:tcBorders>
            <w:shd w:fill="BDD7EE" w:val="clear"/>
            <w:tcMar>
              <w:top w:type="dxa" w:w="80"/>
              <w:left w:type="dxa" w:w="150"/>
              <w:bottom w:type="dxa" w:w="80"/>
              <w:right w:type="dxa" w:w="150"/>
            </w:tcMar>
            <w:vAlign w:val="center"/>
          </w:tcPr>
          <w:p>
            <w:r>
              <w:rPr>
                <w:rFonts w:ascii="Arial" w:cs="Arial" w:eastAsia="Arial" w:hAnsi="Arial"/>
                <w:b/>
                <w:bCs/>
                <w:color w:val="1F3864"/>
                <w:sz w:val="20"/>
                <w:szCs w:val="20"/>
              </w:rPr>
              <w:t xml:space="preserve">Automated Resume Information Extraction to Support the Matching of Job Seekers and Vacancies</w:t>
            </w:r>
          </w:p>
        </w:tc>
        <w:tc>
          <w:tcPr>
            <w:tcW w:type="dxa" w:w="2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Scraping &amp; Parsing de CV</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both"/>
            </w:pPr>
            <w:r>
              <w:rPr>
                <w:rFonts w:ascii="Arial" w:cs="Arial" w:eastAsia="Arial" w:hAnsi="Arial"/>
                <w:color w:val="404040"/>
                <w:sz w:val="20"/>
                <w:szCs w:val="20"/>
              </w:rPr>
              <w:t xml:space="preserve">Utile pour justifier la difficulté et l'importance de bien formater les données extraites des CV et des offres web scrapées.</w:t>
            </w:r>
          </w:p>
        </w:tc>
      </w:tr>
    </w:tbl>
    <w:p>
      <w:pPr>
        <w:spacing w:after="60" w:before="60"/>
      </w:pPr>
      <w:r>
        <w:t xml:space="preserve"/>
      </w:r>
    </w:p>
    <w:p>
      <w:pPr>
        <w:spacing w:after="80" w:before="80"/>
        <w:jc w:val="both"/>
      </w:pPr>
      <w:r>
        <w:rPr>
          <w:rFonts w:ascii="Arial" w:cs="Arial" w:eastAsia="Arial" w:hAnsi="Arial"/>
          <w:b/>
          <w:bCs/>
          <w:color w:val="2E75B6"/>
          <w:sz w:val="20"/>
          <w:szCs w:val="20"/>
        </w:rPr>
        <w:t xml:space="preserve">Note méthodologique : </w:t>
      </w:r>
      <w:r>
        <w:rPr>
          <w:rFonts w:ascii="Arial" w:cs="Arial" w:eastAsia="Arial" w:hAnsi="Arial"/>
          <w:i/>
          <w:iCs/>
          <w:color w:val="404040"/>
          <w:sz w:val="20"/>
          <w:szCs w:val="20"/>
        </w:rPr>
        <w:t xml:space="preserve">Ces références sont à importer dans Zotero via l'extension Zotero Connector afin de constituer la bibliographie officielle du mémoire de PFA.</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spacing w:after="0" w:before="100"/>
    </w:pPr>
    <w:r>
      <w:rPr>
        <w:rFonts w:ascii="Arial" w:cs="Arial" w:eastAsia="Arial" w:hAnsi="Arial"/>
        <w:color w:val="888888"/>
        <w:sz w:val="16"/>
        <w:szCs w:val="16"/>
      </w:rPr>
      <w:t xml:space="preserve">Ayman Ould-Naghouch  •  El Mehdi Ribahi  •  Encadrant : M. Gamal Mohammed</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before="0"/>
    </w:pPr>
    <w:r>
      <w:rPr>
        <w:rFonts w:ascii="Arial" w:cs="Arial" w:eastAsia="Arial" w:hAnsi="Arial"/>
        <w:color w:val="888888"/>
        <w:sz w:val="18"/>
        <w:szCs w:val="18"/>
      </w:rPr>
      <w:t xml:space="preserve">État de l'Art — Plateforme de Recommandation de Stages par IA  |  PFA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2026-04-22T20:01:52.318Z</dcterms:created>
  <dcterms:modified xsi:type="dcterms:W3CDTF">2026-04-22T20:01:52.319Z</dcterms:modified>
</cp:coreProperties>
</file>

<file path=docProps/custom.xml><?xml version="1.0" encoding="utf-8"?>
<Properties xmlns="http://schemas.openxmlformats.org/officeDocument/2006/custom-properties" xmlns:vt="http://schemas.openxmlformats.org/officeDocument/2006/docPropsVTypes"/>
</file>