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Penilaian Repository ECMP</w:t>
      </w:r>
    </w:p>
    <w:p>
      <w:pPr>
        <w:spacing w:after="300"/>
      </w:pPr>
      <w:r>
        <w:rPr>
          <w:i/>
          <w:iCs/>
          <w:color w:val="555555"/>
        </w:rPr>
        <w:t xml:space="preserve">Enterprise Knowledge Repository (EKR) + AI Development Platform</w:t>
      </w:r>
    </w:p>
    <w:p>
      <w:pPr>
        <w:spacing w:after="120"/>
      </w:pPr>
      <w:r>
        <w:t xml:space="preserve">Dokumen ini menilai isi arsip ECMP.zip yang diunggah, mencakup tiga aspek: (1) dokumentasi &amp; governance, (2) arsitektur teknis/solusi, dan (3) kode implementasi, ditambah tinjauan tooling automasi yang menopang repo ini. Penilaian didasarkan pada pembacaan langsung isi file — laporan health otomatis repo, dokumen ADR, blueprint bisnis, katalog API/event, dan struktur folder implementasi.</w:t>
      </w:r>
    </w:p>
    <w:p>
      <w:pPr>
        <w:pStyle w:val="Heading1"/>
        <w:spacing w:after="150" w:before="300"/>
      </w:pPr>
      <w:r>
        <w:t xml:space="preserve">Ringkasan Eksekutif</w:t>
      </w:r>
    </w:p>
    <w:p>
      <w:pPr>
        <w:spacing w:after="120"/>
      </w:pPr>
      <w:r>
        <w:t xml:space="preserve">ECMP bukan sekadar kumpulan dokumen kosong — ini adalah fondasi Enterprise Architecture Repository (EAR) yang matang dan koheren, dibangun dengan disiplin governance-as-code (28 folder bernomor, metadata terstandar, automasi cek kualitas). Namun implementasinya sendiri sama sekali belum dimulai: folder implementation/ 100% kosong (hanya file placeholder), dan traceability matrix menunjukkan seluruh 8 item requirement masih berstatus "Planned", belum ada yang terverifikasi.</w:t>
      </w:r>
    </w:p>
    <w:p>
      <w:pPr>
        <w:spacing w:after="120"/>
      </w:pPr>
      <w:r>
        <w:t xml:space="preserve">Kesimpulan singkat: proyek ini adalah scaffold/blueprint enterprise berkualitas tinggi yang siap dipakai sebagai titik awal Sprint-01, bukan produk yang sedang berjalan.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1600"/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Skor</w:t>
            </w:r>
          </w:p>
        </w:tc>
        <w:tc>
          <w:tcPr>
            <w:tcW w:type="dxa" w:w="4160"/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Catatan Singkat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Dokumentasi &amp; Governance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85 / 100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180 file markdown, health score 100%, 0 broken link, ADR &amp; blueprint berisi substansi nyata</w:t>
            </w:r>
          </w:p>
        </w:tc>
      </w:tr>
      <w:tr>
        <w:tc>
          <w:tcPr>
            <w:tcW w:type="dxa" w:w="3600"/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Arsitektur Teknis</w:t>
            </w:r>
          </w:p>
        </w:tc>
        <w:tc>
          <w:tcPr>
            <w:tcW w:type="dxa" w:w="1600"/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 / 100</w:t>
            </w:r>
          </w:p>
        </w:tc>
        <w:tc>
          <w:tcPr>
            <w:tcW w:type="dxa" w:w="4160"/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Prinsip &amp; pola solid dan konsisten, tapi stack teknologi belum diputuskan; API/Event catalog masih skeleton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Kode Implementasi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/ 100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Folder implementation/ kosong (hanya .gitkeep), status eksplisit "Bootstrap pending Sprint-01"</w:t>
            </w:r>
          </w:p>
        </w:tc>
      </w:tr>
      <w:tr>
        <w:tc>
          <w:tcPr>
            <w:tcW w:type="dxa" w:w="3600"/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Tooling &amp; Automation</w:t>
            </w:r>
          </w:p>
        </w:tc>
        <w:tc>
          <w:tcPr>
            <w:tcW w:type="dxa" w:w="1600"/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 / 100</w:t>
            </w:r>
          </w:p>
        </w:tc>
        <w:tc>
          <w:tcPr>
            <w:tcW w:type="dxa" w:w="4160"/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 script governance nyata berfungsi, output konsisten dengan laporan yang dihasilkan</w:t>
            </w:r>
          </w:p>
        </w:tc>
      </w:tr>
    </w:tbl>
    <w:p>
      <w:pPr>
        <w:pStyle w:val="Heading1"/>
        <w:spacing w:after="150" w:before="300"/>
      </w:pPr>
      <w:r>
        <w:t xml:space="preserve">1. Dokumentasi &amp; Governance</w:t>
      </w:r>
    </w:p>
    <w:p>
      <w:pPr>
        <w:spacing w:after="120"/>
      </w:pPr>
      <w:r>
        <w:t xml:space="preserve">Skor: 85/100 — kuat dari sisi kelengkapan dan konsistensi, dengan gap wajar untuk proyek early-stage.</w:t>
      </w:r>
    </w:p>
    <w:p>
      <w:pPr>
        <w:pStyle w:val="Heading2"/>
        <w:spacing w:after="100" w:before="200"/>
      </w:pPr>
      <w:r>
        <w:t xml:space="preserve">Temuan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REPO_HEALTH_REPORT.md (digenerate otomatis oleh tools/ear_repo_check.py, 2026-07-21): 180 file markdown, skor kesehatan 100%, 0 metadata hilang/tidak lengkap, 0 broken link, 0 review yang lewat jatuh tempo, dan 0 folder bernomor tanpa README dari total 28 folder (00–27).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Blueprint (ECMP_Business_Blueprint_v2.1.docx, ~41 KB) diverifikasi berisi teks substantif dan spesifik — bukan file kosong atau lorem ipsum — mencakup ruang lingkup in/out-of-scope, 7 prinsip arsitektur bisnis, dan 7 domain bisnis.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Architecture Decision Record (ADR) lengkap dengan Context/Options/Decision/Consequences: ADR-001 (integrasi antar-domain event-driven asinkron), ADR-002 (CRM memakai cache read-only dari Customer Master, bukan system-of-record), ADR-003 (configuration-first hanya untuk area yang sering berubah, aturan struktural inti tetap hardcoded).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Traceability matrix (v0.2) berisi 8 tautan nyata yang menghubungkan Blueprint → Business Rules → Functional Requirement → API → Event → Test → Sprint per domain — strukturnya benar dan bukan template kosong, tapi seluruh 8 item masih berstatus "Planned", belum ada yang "Verified" atau "Done".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Questions: 3 pertanyaan terbuka konkret dan relevan (scope Channel app fase 1, pemilihan stack teknis final, adopsi pola CQRS), semuanya belum bertanggal target keputusan.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Metadata (tabel Status/Owner/Reviewer/Approver) konsisten di semua dokumen; dari seluruh README, 28 berstatus "Draft" dan hanya segelintir "Approved" — wajar untuk repo yang baru dibentuk, bukan tanda kelalaian.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DOC_COVERAGE.generated.md secara jujur menunjukkan coverage tidak merata antar domain: ECMF paling matang (API &amp; Event 100%, FRD 60%), CRM sedang (FRD 40%), Core Platform 0% di semua kategori kecuali Business — laporan ini tidak dipoles untuk terlihat sempurna.</w:t>
      </w:r>
    </w:p>
    <w:p>
      <w:pPr>
        <w:pBdr>
          <w:left w:val="single" w:color="AAAAAA" w:sz="12" w:space="8"/>
        </w:pBdr>
        <w:spacing w:after="200"/>
      </w:pPr>
      <w:r>
        <w:rPr>
          <w:i/>
          <w:iCs/>
          <w:color w:val="555555"/>
        </w:rPr>
        <w:t xml:space="preserve">Catatan: kelengkapan dokumentasi setinggi ini sebagian besar dihasilkan lewat automasi (bukan seluruhnya ditulis manual), sehingga perlu dicek berkala apakah kualitasnya tetap terjaga saat proyek berkembang, bukan hanya lengkap secara struktural.</w:t>
      </w:r>
    </w:p>
    <w:p>
      <w:pPr>
        <w:pStyle w:val="Heading1"/>
        <w:spacing w:after="150" w:before="300"/>
      </w:pPr>
      <w:r>
        <w:t xml:space="preserve">2. Arsitektur Teknis / Solusi</w:t>
      </w:r>
    </w:p>
    <w:p>
      <w:pPr>
        <w:spacing w:after="120"/>
      </w:pPr>
      <w:r>
        <w:t xml:space="preserve">Skor: 60/100 — fondasi konseptual kuat dan koheren antar-dokumen, tapi keputusan teknis konkret masih minim.</w:t>
      </w:r>
    </w:p>
    <w:p>
      <w:pPr>
        <w:pStyle w:val="Heading2"/>
        <w:spacing w:after="100" w:before="200"/>
      </w:pPr>
      <w:r>
        <w:t xml:space="preserve">Temuan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Solution Architecture (138 baris) secara eksplisit menyatakan diri sebagai "draft awal", memetakan 7 domain bisnis ke container/component view, dan mendefinisikan 6 prinsip arsitektur teknis (domain-oriented, event-driven, read-only cache, config-over-code, audit-first, idempotent consumer) yang konsisten mengacu ke ADR-001/002/003 — koherensi antar-dokumen tinggi.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Dokumen ini mencatat sendiri: "Belum ada keputusan teknologi (bahasa/framework, database, message broker)" — ini adalah gap signifikan mengingat OQ-002 (pemilihan stack) juga masih terbuka.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Dictionary (105 baris) baru mencontohkan 3 entitas (Case Header, Customer Reference, Audit Log) dari 7 domain yang direncanakan, dan disebut sendiri sebagai "starting point", bukan skema lengkap.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Catalog (case-service.v1.yaml, 45 baris): hanya 2 path (/cases, /cases/{caseId}) — OpenAPI spec skeleton minimal, belum mencerminkan kompleksitas 7 domain.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 Catalog (events.yaml, 60 baris): 6 event terdefinisi (CaseCreated, CaseAssigned, StatusChanged, SLABreached, CaseClosed, ConfigChanged) — konsisten dengan pola event-driven di ADR-001.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Architecture per-domain (contoh CRM, 34 baris) masih deskriptif dangkal — in/out-of-scope dan integrasi kunci sudah ada, tapi diagram nyata belum tersedia (placeholder "link exports here when available").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Reference Architecture PATTERNS.md (49 baris) mendaftar 6 pola standar (Layered, Clean, Hexagonal, Repository, Event-Driven, CQRS opsional) dengan aturan wajib ADR untuk deviasi — solid secara konsep tapi masih generik/textbook, belum ada bukti penerapan nyata dalam kode.</w:t>
      </w:r>
    </w:p>
    <w:p>
      <w:pPr>
        <w:pStyle w:val="Heading1"/>
        <w:spacing w:after="150" w:before="300"/>
      </w:pPr>
      <w:r>
        <w:t xml:space="preserve">3. Kode Implementasi</w:t>
      </w:r>
    </w:p>
    <w:p>
      <w:pPr>
        <w:spacing w:after="120"/>
      </w:pPr>
      <w:r>
        <w:t xml:space="preserve">Skor: 5/100 — implementasi belum dimulai.</w:t>
      </w:r>
    </w:p>
    <w:p>
      <w:pPr>
        <w:pStyle w:val="Heading2"/>
        <w:spacing w:after="100" w:before="200"/>
      </w:pPr>
      <w:r>
        <w:t xml:space="preserve">Temuan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Folder implementation/ berisi 6 file total: 5 di antaranya adalah file .gitkeep kosong (backend/, frontend/, infrastructure/, tests/, deployment/), dan hanya README.md (41 baris) yang berisi teks nyata.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 implementation secara eksplisit menyatakan status: "Current Status: Bootstrap pending Sprint-01".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Tidak ditemukan satu baris kode fungsional, tidak ada test yang berjalan, dan belum ada pilihan bahasa/framework yang diterapkan secara konkret.</w:t>
      </w:r>
    </w:p>
    <w:p>
      <w:pPr>
        <w:pBdr>
          <w:left w:val="single" w:color="AAAAAA" w:sz="12" w:space="8"/>
        </w:pBdr>
        <w:spacing w:after="200"/>
      </w:pPr>
      <w:r>
        <w:rPr>
          <w:i/>
          <w:iCs/>
          <w:color w:val="555555"/>
        </w:rPr>
        <w:t xml:space="preserve">Ini konsisten dengan Solution Architecture dan Open Questions yang sama-sama menyatakan stack teknologi belum diputuskan — dokumentasi dan kondisi implementasi sinkron, bukan kontradiktif.</w:t>
      </w:r>
    </w:p>
    <w:p>
      <w:pPr>
        <w:pStyle w:val="Heading1"/>
        <w:spacing w:after="150" w:before="300"/>
      </w:pPr>
      <w:r>
        <w:t xml:space="preserve">4. Tooling &amp; Automation</w:t>
      </w:r>
    </w:p>
    <w:p>
      <w:pPr>
        <w:spacing w:after="120"/>
      </w:pPr>
      <w:r>
        <w:t xml:space="preserve">Skor: 80/100 — automasi governance nyata berfungsi, bukan sekadar nama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tools/README.md mendokumentasikan 9 script governance (ear_repo_check.py, doc_coverage.py, repo_metrics.py, generate_api_catalog.py, generate_event_catalog.py, generate_knowledge_graph.py, impact_analysis.py, sync_traceability_md.py, ai_reviewer.py) dengan satu orkestrator run_engineering_os.py.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ear_repo_check.py (397 baris) berisi logika nyata (parsing tabel metadata EAR, deteksi folder bernomor, generate laporan health) yang cocok persis dengan output REPO_HEALTH_REPORT.md yang telah diverifikasi — bukti automasi ini benar-benar dijalankan.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AI_REVIEW.generated.md menunjukkan output nyata (kosong karena belum ada git changes) — mengindikasikan pipeline CI/AI-review terintegrasi dan berfungsi, bukan hanya file stub.</w:t>
      </w:r>
    </w:p>
    <w:p>
      <w:pPr>
        <w:pStyle w:val="Heading1"/>
        <w:spacing w:after="150" w:before="300"/>
      </w:pPr>
      <w:r>
        <w:t xml:space="preserve">Kesimpulan &amp; Rekomendasi</w:t>
      </w:r>
    </w:p>
    <w:p>
      <w:pPr>
        <w:spacing w:after="120"/>
      </w:pPr>
      <w:r>
        <w:t xml:space="preserve">ECMP saat ini adalah scaffold/blueprint enterprise dengan tata kelola dokumentasi yang sangat matang — bukan generic boilerplate, karena istilah dan konteks bisnis (ECMF, Customer 360, SLA breach) konsisten dipakai di semua lapisan dokumen, dan ADR/Solution Architecture saling mengutip secara koheren. Titik lemah utamanya bukan pada kualitas dokumen, melainkan pada tiga keputusan yang masih menggantung dan langsung menghambat mulainya coding: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Stack teknologi (bahasa, framework, database, message broker) belum diputuskan (OQ-002).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Channel app fase 1 belum final (OQ-001).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Adopsi pola CQRS belum diputuskan (OQ-003), padahal ini memengaruhi desain API dan Event Catalog yang saat ini masih skeleton.</w:t>
      </w:r>
    </w:p>
    <w:p>
      <w:pPr>
        <w:spacing w:after="120"/>
      </w:pPr>
      <w:r>
        <w:t xml:space="preserve">Rekomendasi: tutup ketiga open question di atas terlebih dahulu sebelum memulai Sprint-01, karena keputusan tersebut akan menentukan bentuk akhir API Catalog, Data Dictionary, dan struktur folder implementation/. Setelah itu, prioritaskan implementasi 1 domain percontohan (disarankan ECMF, karena FRD dan API/Event coverage-nya sudah paling matang) untuk memvalidasi apakah arsitektur yang dirancang benar-benar applicable di kode, sebelum direplikasi ke 6 domain lainnya.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2026-07-21T05:16:52.576Z</dcterms:created>
  <dcterms:modified xsi:type="dcterms:W3CDTF">2026-07-21T05:16:52.577Z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