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866"/>
      </w:tblGrid>
      <w:tr>
        <w:tc>
          <w:tcPr>
            <w:tcW w:type="dxa" w:w="9866"/>
            <w:shd w:fill="1B365D" w:val="clear"/>
            <w:tcBorders>
              <w:top w:val="single" w:sz="4" w:color="1B365D"/>
              <w:left w:val="single" w:sz="4" w:color="1B365D"/>
              <w:bottom w:val="single" w:sz="4" w:color="1B365D"/>
              <w:right w:val="single" w:sz="4" w:color="1B365D"/>
            </w:tcBorders>
            <w:tcMar>
              <w:top w:w="140" w:type="dxa"/>
              <w:left w:w="160" w:type="dxa"/>
              <w:bottom w:w="140" w:type="dxa"/>
              <w:right w:w="160" w:type="dxa"/>
            </w:tcMar>
          </w:tcPr>
          <w:p>
            <w:pPr>
              <w:jc w:val="left"/>
            </w:pPr>
            <w:r/>
            <w:r>
              <w:rPr>
                <w:rFonts w:ascii="Calibri" w:hAnsi="Calibri" w:eastAsia="Calibri"/>
                <w:b/>
                <w:i w:val="0"/>
                <w:color w:val="E8C872"/>
                <w:sz w:val="18"/>
              </w:rPr>
              <w:t>PELAYANAN</w:t>
            </w:r>
          </w:p>
          <w:p>
            <w:pPr>
              <w:jc w:val="left"/>
            </w:pPr>
            <w:r>
              <w:rPr>
                <w:rFonts w:ascii="Calibri" w:hAnsi="Calibri" w:eastAsia="Calibri"/>
                <w:b/>
                <w:i w:val="0"/>
                <w:color w:val="FFFFFF"/>
                <w:sz w:val="44"/>
              </w:rPr>
              <w:t>Panduan Peran Pengguna</w:t>
            </w:r>
          </w:p>
          <w:p>
            <w:r>
              <w:rPr>
                <w:rFonts w:ascii="Calibri" w:hAnsi="Calibri" w:eastAsia="Calibri"/>
                <w:b w:val="0"/>
                <w:i w:val="0"/>
                <w:color w:val="D6DEE8"/>
                <w:sz w:val="20"/>
              </w:rPr>
              <w:t>Penjelasan singkat untuk petugas, pengawas, manajer, dan administrator.</w:t>
              <w:br/>
              <w:t>Versi 1.1  ·  18 Agustus 2026  ·  Bahasa Indonesia</w:t>
            </w:r>
          </w:p>
        </w:tc>
      </w:tr>
    </w:tbl>
    <w:p/>
    <w:p>
      <w:pPr>
        <w:spacing w:after="160" w:before="0" w:line="276" w:lineRule="auto"/>
      </w:pPr>
      <w:r>
        <w:rPr>
          <w:rFonts w:ascii="Calibri" w:hAnsi="Calibri" w:eastAsia="Calibri"/>
          <w:b w:val="0"/>
          <w:i w:val="0"/>
          <w:color w:val="334155"/>
          <w:sz w:val="22"/>
        </w:rPr>
        <w:t>Setiap akun di modul pengaduan memiliki peran. Peran menentukan menu yang terlihat, data yang boleh dibuka, dan tombol yang boleh dipakai. Dokumen ini memakai nama yang tampil di layar. Kode teknis ada di lampiran untuk Administrator.</w:t>
      </w:r>
    </w:p>
    <w:tbl>
      <w:tblPr>
        <w:tblW w:type="auto" w:w="0"/>
        <w:jc w:val="center"/>
        <w:tblLook w:firstColumn="1" w:firstRow="1" w:lastColumn="0" w:lastRow="0" w:noHBand="0" w:noVBand="1" w:val="04A0"/>
      </w:tblPr>
      <w:tblGrid>
        <w:gridCol w:w="9866"/>
      </w:tblGrid>
      <w:tr>
        <w:tc>
          <w:tcPr>
            <w:tcW w:type="dxa" w:w="9866"/>
            <w:shd w:fill="F7F1E3" w:val="clear"/>
            <w:tcBorders>
              <w:top w:val="single" w:sz="8" w:color="B88A2E"/>
              <w:left w:val="single" w:sz="8" w:color="B88A2E"/>
              <w:bottom w:val="single" w:sz="8" w:color="B88A2E"/>
              <w:right w:val="single" w:sz="8" w:color="B88A2E"/>
            </w:tcBorders>
            <w:tcMar>
              <w:top w:w="100" w:type="dxa"/>
              <w:left w:w="120" w:type="dxa"/>
              <w:bottom w:w="100" w:type="dxa"/>
              <w:right w:w="120" w:type="dxa"/>
            </w:tcMar>
          </w:tcPr>
          <w:p>
            <w:pPr>
              <w:spacing w:after="40"/>
            </w:pPr>
            <w:r/>
            <w:r>
              <w:rPr>
                <w:rFonts w:ascii="Calibri" w:hAnsi="Calibri" w:eastAsia="Calibri"/>
                <w:b/>
                <w:i w:val="0"/>
                <w:color w:val="1B365D"/>
                <w:sz w:val="21"/>
              </w:rPr>
              <w:t>Cara cek peran Anda</w:t>
            </w:r>
          </w:p>
          <w:p>
            <w:pPr>
              <w:spacing w:after="0"/>
            </w:pPr>
            <w:r>
              <w:rPr>
                <w:rFonts w:ascii="Calibri" w:hAnsi="Calibri" w:eastAsia="Calibri"/>
                <w:b w:val="0"/>
                <w:i w:val="0"/>
                <w:color w:val="334155"/>
                <w:sz w:val="21"/>
              </w:rPr>
              <w:t>Lihat nama peran di profil atau di halaman Direktori Pengguna. Jika tombol tidak muncul atau sistem menolak aksi, peran Anda memang tidak punya wewenang itu. Jangan bagikan kata sandi. Minta perubahan peran hanya kepada Administrator.</w:t>
            </w:r>
          </w:p>
        </w:tc>
      </w:tr>
    </w:tbl>
    <w:p/>
    <w:p>
      <w:pPr>
        <w:spacing w:before="280" w:after="120"/>
        <w:pBdr>
          <w:bottom w:val="single" w:sz="12" w:space="4" w:color="B88A2E"/>
        </w:pBdr>
      </w:pPr>
      <w:r>
        <w:rPr>
          <w:rFonts w:ascii="Calibri" w:hAnsi="Calibri" w:eastAsia="Calibri"/>
          <w:b/>
          <w:i w:val="0"/>
          <w:color w:val="1B365D"/>
          <w:sz w:val="28"/>
        </w:rPr>
        <w:t>1.  Empat peran yang dipakai</w:t>
      </w:r>
    </w:p>
    <w:p>
      <w:pPr>
        <w:spacing w:after="160" w:before="0" w:line="276" w:lineRule="auto"/>
      </w:pPr>
      <w:r>
        <w:rPr>
          <w:rFonts w:ascii="Calibri" w:hAnsi="Calibri" w:eastAsia="Calibri"/>
          <w:b w:val="0"/>
          <w:i w:val="0"/>
          <w:color w:val="334155"/>
          <w:sz w:val="22"/>
        </w:rPr>
        <w:t>Di layar buat/ubah pengguna, hanya empat peran ini yang ditawarkan. Pekerjaan harian pengaduan dikerjakan Petugas, Supervisor, dan Manager. Administrator mengelola akses, bukan menangani pengaduan. Satu orang bisa merangkap pencatatan dan penanganan; yang membedakan wewenang adalah peran di akun, bukan gelar jabatan di luar sistem.</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814"/>
            <w:shd w:fill="1B365D" w:val="clear"/>
            <w:tcBorders>
              <w:top w:val="single" w:sz="4" w:color="1B365D"/>
              <w:left w:val="single" w:sz="4" w:color="1B365D"/>
              <w:bottom w:val="single" w:sz="4" w:color="1B365D"/>
              <w:right w:val="single" w:sz="4" w:color="1B365D"/>
            </w:tcBorders>
            <w:tcMar>
              <w:top w:w="60" w:type="dxa"/>
              <w:left w:w="80" w:type="dxa"/>
              <w:bottom w:w="60" w:type="dxa"/>
              <w:right w:w="80" w:type="dxa"/>
            </w:tcMar>
          </w:tcPr>
          <w:p>
            <w:pPr>
              <w:spacing w:before="40" w:after="40" w:line="259" w:lineRule="auto"/>
              <w:jc w:val="left"/>
            </w:pPr>
            <w:r/>
            <w:r>
              <w:rPr>
                <w:rFonts w:ascii="Calibri" w:hAnsi="Calibri" w:eastAsia="Calibri"/>
                <w:b/>
                <w:i w:val="0"/>
                <w:color w:val="FFFFFF"/>
                <w:sz w:val="18"/>
              </w:rPr>
              <w:t>Peran di layar</w:t>
            </w:r>
          </w:p>
        </w:tc>
        <w:tc>
          <w:tcPr>
            <w:tcW w:type="dxa" w:w="1928"/>
            <w:shd w:fill="1B365D" w:val="clear"/>
            <w:tcBorders>
              <w:top w:val="single" w:sz="4" w:color="1B365D"/>
              <w:left w:val="single" w:sz="4" w:color="1B365D"/>
              <w:bottom w:val="single" w:sz="4" w:color="1B365D"/>
              <w:right w:val="single" w:sz="4" w:color="1B365D"/>
            </w:tcBorders>
            <w:tcMar>
              <w:top w:w="60" w:type="dxa"/>
              <w:left w:w="80" w:type="dxa"/>
              <w:bottom w:w="60" w:type="dxa"/>
              <w:right w:w="80" w:type="dxa"/>
            </w:tcMar>
          </w:tcPr>
          <w:p>
            <w:pPr>
              <w:spacing w:before="40" w:after="40" w:line="259" w:lineRule="auto"/>
              <w:jc w:val="left"/>
            </w:pPr>
            <w:r/>
            <w:r>
              <w:rPr>
                <w:rFonts w:ascii="Calibri" w:hAnsi="Calibri" w:eastAsia="Calibri"/>
                <w:b/>
                <w:i w:val="0"/>
                <w:color w:val="FFFFFF"/>
                <w:sz w:val="18"/>
              </w:rPr>
              <w:t>Tugas utama</w:t>
            </w:r>
          </w:p>
        </w:tc>
        <w:tc>
          <w:tcPr>
            <w:tcW w:type="dxa" w:w="2268"/>
            <w:shd w:fill="1B365D" w:val="clear"/>
            <w:tcBorders>
              <w:top w:val="single" w:sz="4" w:color="1B365D"/>
              <w:left w:val="single" w:sz="4" w:color="1B365D"/>
              <w:bottom w:val="single" w:sz="4" w:color="1B365D"/>
              <w:right w:val="single" w:sz="4" w:color="1B365D"/>
            </w:tcBorders>
            <w:tcMar>
              <w:top w:w="60" w:type="dxa"/>
              <w:left w:w="80" w:type="dxa"/>
              <w:bottom w:w="60" w:type="dxa"/>
              <w:right w:w="80" w:type="dxa"/>
            </w:tcMar>
          </w:tcPr>
          <w:p>
            <w:pPr>
              <w:spacing w:before="40" w:after="40" w:line="259" w:lineRule="auto"/>
              <w:jc w:val="left"/>
            </w:pPr>
            <w:r/>
            <w:r>
              <w:rPr>
                <w:rFonts w:ascii="Calibri" w:hAnsi="Calibri" w:eastAsia="Calibri"/>
                <w:b/>
                <w:i w:val="0"/>
                <w:color w:val="FFFFFF"/>
                <w:sz w:val="18"/>
              </w:rPr>
              <w:t>Yang boleh dilakukan</w:t>
            </w:r>
          </w:p>
        </w:tc>
        <w:tc>
          <w:tcPr>
            <w:tcW w:type="dxa" w:w="2268"/>
            <w:shd w:fill="1B365D" w:val="clear"/>
            <w:tcBorders>
              <w:top w:val="single" w:sz="4" w:color="1B365D"/>
              <w:left w:val="single" w:sz="4" w:color="1B365D"/>
              <w:bottom w:val="single" w:sz="4" w:color="1B365D"/>
              <w:right w:val="single" w:sz="4" w:color="1B365D"/>
            </w:tcBorders>
            <w:tcMar>
              <w:top w:w="60" w:type="dxa"/>
              <w:left w:w="80" w:type="dxa"/>
              <w:bottom w:w="60" w:type="dxa"/>
              <w:right w:w="80" w:type="dxa"/>
            </w:tcMar>
          </w:tcPr>
          <w:p>
            <w:pPr>
              <w:spacing w:before="40" w:after="40" w:line="259" w:lineRule="auto"/>
              <w:jc w:val="left"/>
            </w:pPr>
            <w:r/>
            <w:r>
              <w:rPr>
                <w:rFonts w:ascii="Calibri" w:hAnsi="Calibri" w:eastAsia="Calibri"/>
                <w:b/>
                <w:i w:val="0"/>
                <w:color w:val="FFFFFF"/>
                <w:sz w:val="18"/>
              </w:rPr>
              <w:t>Yang tidak dilakukan</w:t>
            </w:r>
          </w:p>
        </w:tc>
        <w:tc>
          <w:tcPr>
            <w:tcW w:type="dxa" w:w="1701"/>
            <w:shd w:fill="1B365D" w:val="clear"/>
            <w:tcBorders>
              <w:top w:val="single" w:sz="4" w:color="1B365D"/>
              <w:left w:val="single" w:sz="4" w:color="1B365D"/>
              <w:bottom w:val="single" w:sz="4" w:color="1B365D"/>
              <w:right w:val="single" w:sz="4" w:color="1B365D"/>
            </w:tcBorders>
            <w:tcMar>
              <w:top w:w="60" w:type="dxa"/>
              <w:left w:w="80" w:type="dxa"/>
              <w:bottom w:w="60" w:type="dxa"/>
              <w:right w:w="80" w:type="dxa"/>
            </w:tcMar>
          </w:tcPr>
          <w:p>
            <w:pPr>
              <w:spacing w:before="40" w:after="40" w:line="259" w:lineRule="auto"/>
              <w:jc w:val="left"/>
            </w:pPr>
            <w:r/>
            <w:r>
              <w:rPr>
                <w:rFonts w:ascii="Calibri" w:hAnsi="Calibri" w:eastAsia="Calibri"/>
                <w:b/>
                <w:i w:val="0"/>
                <w:color w:val="FFFFFF"/>
                <w:sz w:val="18"/>
              </w:rPr>
              <w:t>Data yang terlihat</w:t>
            </w:r>
          </w:p>
        </w:tc>
      </w:tr>
      <w:tr>
        <w:tc>
          <w:tcPr>
            <w:tcW w:type="dxa" w:w="1814"/>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Petugas</w:t>
            </w:r>
          </w:p>
        </w:tc>
        <w:tc>
          <w:tcPr>
            <w:tcW w:type="dxa" w:w="1928"/>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Mencatat pengaduan pelanggan dan menangani case yang menjadi tanggung jawabnya.</w:t>
            </w:r>
          </w:p>
        </w:tc>
        <w:tc>
          <w:tcPr>
            <w:tcW w:type="dxa" w:w="2268"/>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Membuat pengaduan, memperbarui case sendiri, menambah catatan dan lampiran, mengusulkan penyelesaian.</w:t>
            </w:r>
          </w:p>
        </w:tc>
        <w:tc>
          <w:tcPr>
            <w:tcW w:type="dxa" w:w="2268"/>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Tidak menugaskan case ke orang lain, tidak menutup atau mengeskalasi case, tidak melihat case milik petugas lain.</w:t>
            </w:r>
          </w:p>
        </w:tc>
        <w:tc>
          <w:tcPr>
            <w:tcW w:type="dxa" w:w="1701"/>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Hanya case miliknya (dibuat atau sedang ditugaskan kepadanya).</w:t>
            </w:r>
          </w:p>
        </w:tc>
      </w:tr>
      <w:tr>
        <w:tc>
          <w:tcPr>
            <w:tcW w:type="dxa" w:w="1814"/>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Supervisor</w:t>
            </w:r>
          </w:p>
        </w:tc>
        <w:tc>
          <w:tcPr>
            <w:tcW w:type="dxa" w:w="1928"/>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Mengawasi unit: distribusi kerja, persetujuan, eskalasi, dan penutupan.</w:t>
            </w:r>
          </w:p>
        </w:tc>
        <w:tc>
          <w:tcPr>
            <w:tcW w:type="dxa" w:w="2268"/>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Semua wewenang Petugas, plus menugaskan/memindahkan case, eskalasi, menutup case, meninjau hasil, dan mengelola keanggotaan user di unitnya.</w:t>
            </w:r>
          </w:p>
        </w:tc>
        <w:tc>
          <w:tcPr>
            <w:tcW w:type="dxa" w:w="2268"/>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Tidak mengubah pengaturan sistem (SLA, alur, matriks izin). Tidak melihat unit lain.</w:t>
            </w:r>
          </w:p>
        </w:tc>
        <w:tc>
          <w:tcPr>
            <w:tcW w:type="dxa" w:w="1701"/>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Semua case di unit sendiri.</w:t>
            </w:r>
          </w:p>
        </w:tc>
      </w:tr>
      <w:tr>
        <w:tc>
          <w:tcPr>
            <w:tcW w:type="dxa" w:w="1814"/>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Manager</w:t>
            </w:r>
          </w:p>
        </w:tc>
        <w:tc>
          <w:tcPr>
            <w:tcW w:type="dxa" w:w="1928"/>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Pengawasan operasional unit dan keanggotaan staf.</w:t>
            </w:r>
          </w:p>
        </w:tc>
        <w:tc>
          <w:tcPr>
            <w:tcW w:type="dxa" w:w="2268"/>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Melihat dan mengelola pengaduan di unitnya (termasuk tugaskan, eskalasi, tutup) serta mengubah status keanggotaan user unitnya.</w:t>
            </w:r>
          </w:p>
        </w:tc>
        <w:tc>
          <w:tcPr>
            <w:tcW w:type="dxa" w:w="2268"/>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Tidak mengubah pengaturan sistem. Tidak melihat unit lain. Fokusnya pengawasan, bukan antrean harian petugas.</w:t>
            </w:r>
          </w:p>
        </w:tc>
        <w:tc>
          <w:tcPr>
            <w:tcW w:type="dxa" w:w="1701"/>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Semua case di unit sendiri (sama lingkup dengan Supervisor).</w:t>
            </w:r>
          </w:p>
        </w:tc>
      </w:tr>
      <w:tr>
        <w:tc>
          <w:tcPr>
            <w:tcW w:type="dxa" w:w="1814"/>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Administrator</w:t>
            </w:r>
          </w:p>
        </w:tc>
        <w:tc>
          <w:tcPr>
            <w:tcW w:type="dxa" w:w="1928"/>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Mengelola pengguna, peran, konfigurasi modul, dan keputusan lintas unit.</w:t>
            </w:r>
          </w:p>
        </w:tc>
        <w:tc>
          <w:tcPr>
            <w:tcW w:type="dxa" w:w="2268"/>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Mengelola akun dan peran, pengaturan, audit, memutus pindah/batal lintas unit pada pengaduan internal.</w:t>
            </w:r>
          </w:p>
        </w:tc>
        <w:tc>
          <w:tcPr>
            <w:tcW w:type="dxa" w:w="2268"/>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Tidak membuat pengaduan pelanggan maupun pengaduan internal. Bukan petugas operasional harian.</w:t>
            </w:r>
          </w:p>
        </w:tc>
        <w:tc>
          <w:tcPr>
            <w:tcW w:type="dxa" w:w="1701"/>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Seluruh unit.</w:t>
            </w:r>
          </w:p>
        </w:tc>
      </w:tr>
    </w:tbl>
    <w:p>
      <w:pPr>
        <w:spacing w:after="120" w:before="0" w:line="276" w:lineRule="auto"/>
      </w:pPr>
      <w:r>
        <w:rPr>
          <w:rFonts w:ascii="Calibri" w:hAnsi="Calibri" w:eastAsia="Calibri"/>
          <w:b w:val="0"/>
          <w:i/>
          <w:color w:val="334155"/>
          <w:sz w:val="20"/>
        </w:rPr>
        <w:t>Supervisor dan Manager melihat data yang sama di unitnya. Bedanya pada fokus kerja: Supervisor mengurus antrean dan persetujuan harian; Manager mengurus kinerja dan keanggotaan staf.</w:t>
      </w:r>
    </w:p>
    <w:p>
      <w:pPr>
        <w:spacing w:before="280" w:after="120"/>
        <w:pBdr>
          <w:bottom w:val="single" w:sz="12" w:space="4" w:color="B88A2E"/>
        </w:pBdr>
      </w:pPr>
      <w:r>
        <w:rPr>
          <w:rFonts w:ascii="Calibri" w:hAnsi="Calibri" w:eastAsia="Calibri"/>
          <w:b/>
          <w:i w:val="0"/>
          <w:color w:val="1B365D"/>
          <w:sz w:val="28"/>
        </w:rPr>
        <w:t>2.  Cabang dan Kantor Pusat memakai peran yang sama</w:t>
      </w:r>
    </w:p>
    <w:p>
      <w:pPr>
        <w:spacing w:after="160" w:before="0" w:line="276" w:lineRule="auto"/>
      </w:pPr>
      <w:r>
        <w:rPr>
          <w:rFonts w:ascii="Calibri" w:hAnsi="Calibri" w:eastAsia="Calibri"/>
          <w:b w:val="0"/>
          <w:i w:val="0"/>
          <w:color w:val="334155"/>
          <w:sz w:val="22"/>
        </w:rPr>
        <w:t>Tidak ada peran terpisah “Penjadwal Pusat” atau “Teknisi Pusat”. Pekerjaan Pusat memakai peran yang sama: Petugas, Supervisor, atau Manager, dengan unit = Pusat. Administrator hanya tersedia di Pusat, untuk mengelola akses — bukan untuk membuat pengaduan.</w:t>
      </w:r>
    </w:p>
    <w:p>
      <w:pPr>
        <w:pStyle w:val="ListBullet"/>
        <w:spacing w:after="60" w:before="0" w:line="269" w:lineRule="auto"/>
      </w:pPr>
      <w:r>
        <w:rPr>
          <w:rFonts w:ascii="Calibri" w:hAnsi="Calibri" w:eastAsia="Calibri"/>
          <w:b/>
          <w:i w:val="0"/>
          <w:color w:val="1B365D"/>
          <w:sz w:val="22"/>
        </w:rPr>
        <w:t xml:space="preserve">Unit cabang: </w:t>
      </w:r>
      <w:r>
        <w:rPr>
          <w:rFonts w:ascii="Calibri" w:hAnsi="Calibri" w:eastAsia="Calibri"/>
          <w:b w:val="0"/>
          <w:i w:val="0"/>
          <w:color w:val="334155"/>
          <w:sz w:val="22"/>
        </w:rPr>
        <w:t>pilih Petugas / Supervisor / Manager. Administrator tidak ditawarkan.</w:t>
      </w:r>
    </w:p>
    <w:p>
      <w:pPr>
        <w:pStyle w:val="ListBullet"/>
        <w:spacing w:after="60" w:before="0" w:line="269" w:lineRule="auto"/>
      </w:pPr>
      <w:r>
        <w:rPr>
          <w:rFonts w:ascii="Calibri" w:hAnsi="Calibri" w:eastAsia="Calibri"/>
          <w:b/>
          <w:i w:val="0"/>
          <w:color w:val="1B365D"/>
          <w:sz w:val="22"/>
        </w:rPr>
        <w:t xml:space="preserve">Unit Pusat: </w:t>
      </w:r>
      <w:r>
        <w:rPr>
          <w:rFonts w:ascii="Calibri" w:hAnsi="Calibri" w:eastAsia="Calibri"/>
          <w:b w:val="0"/>
          <w:i w:val="0"/>
          <w:color w:val="334155"/>
          <w:sz w:val="22"/>
        </w:rPr>
        <w:t>pilih Petugas / Supervisor / Manager, atau Administrator jika orang itu pengelola modul.</w:t>
      </w:r>
    </w:p>
    <w:p>
      <w:pPr>
        <w:pStyle w:val="ListBullet"/>
        <w:spacing w:after="60" w:before="0" w:line="269" w:lineRule="auto"/>
      </w:pPr>
      <w:r>
        <w:rPr>
          <w:rFonts w:ascii="Calibri" w:hAnsi="Calibri" w:eastAsia="Calibri"/>
          <w:b/>
          <w:i w:val="0"/>
          <w:color w:val="1B365D"/>
          <w:sz w:val="22"/>
        </w:rPr>
        <w:t xml:space="preserve">Petugas/Supervisor/Manager Pusat: </w:t>
      </w:r>
      <w:r>
        <w:rPr>
          <w:rFonts w:ascii="Calibri" w:hAnsi="Calibri" w:eastAsia="Calibri"/>
          <w:b w:val="0"/>
          <w:i w:val="0"/>
          <w:color w:val="334155"/>
          <w:sz w:val="22"/>
        </w:rPr>
        <w:t>melihat case unit Pusat dan case yang dieskalasikan ke Pusat — bukan otomatis seluruh cabang.</w:t>
      </w:r>
    </w:p>
    <w:p>
      <w:pPr>
        <w:spacing w:before="280" w:after="120"/>
        <w:pBdr>
          <w:bottom w:val="single" w:sz="12" w:space="4" w:color="B88A2E"/>
        </w:pBdr>
      </w:pPr>
      <w:r>
        <w:rPr>
          <w:rFonts w:ascii="Calibri" w:hAnsi="Calibri" w:eastAsia="Calibri"/>
          <w:b/>
          <w:i w:val="0"/>
          <w:color w:val="1B365D"/>
          <w:sz w:val="28"/>
        </w:rPr>
        <w:t>3.  Ringkasan wewenang</w:t>
      </w:r>
    </w:p>
    <w:p>
      <w:pPr>
        <w:spacing w:after="160" w:before="0" w:line="276" w:lineRule="auto"/>
      </w:pPr>
      <w:r>
        <w:rPr>
          <w:rFonts w:ascii="Calibri" w:hAnsi="Calibri" w:eastAsia="Calibri"/>
          <w:b w:val="0"/>
          <w:i w:val="0"/>
          <w:color w:val="334155"/>
          <w:sz w:val="22"/>
        </w:rPr>
        <w:t>Tanda Ya berarti peran itu boleh melakukan aksi tersebut di lingkup datanya.</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3061"/>
            <w:shd w:fill="1B365D" w:val="clear"/>
            <w:tcBorders>
              <w:top w:val="single" w:sz="4" w:color="1B365D"/>
              <w:left w:val="single" w:sz="4" w:color="1B365D"/>
              <w:bottom w:val="single" w:sz="4" w:color="1B365D"/>
              <w:right w:val="single" w:sz="4" w:color="1B365D"/>
            </w:tcBorders>
            <w:tcMar>
              <w:top w:w="60" w:type="dxa"/>
              <w:left w:w="80" w:type="dxa"/>
              <w:bottom w:w="60" w:type="dxa"/>
              <w:right w:w="80" w:type="dxa"/>
            </w:tcMar>
          </w:tcPr>
          <w:p>
            <w:pPr>
              <w:spacing w:before="40" w:after="40" w:line="259" w:lineRule="auto"/>
              <w:jc w:val="left"/>
            </w:pPr>
            <w:r/>
            <w:r>
              <w:rPr>
                <w:rFonts w:ascii="Calibri" w:hAnsi="Calibri" w:eastAsia="Calibri"/>
                <w:b/>
                <w:i w:val="0"/>
                <w:color w:val="FFFFFF"/>
                <w:sz w:val="18"/>
              </w:rPr>
              <w:t>Aksi</w:t>
            </w:r>
          </w:p>
        </w:tc>
        <w:tc>
          <w:tcPr>
            <w:tcW w:type="dxa" w:w="1587"/>
            <w:shd w:fill="1B365D" w:val="clear"/>
            <w:tcBorders>
              <w:top w:val="single" w:sz="4" w:color="1B365D"/>
              <w:left w:val="single" w:sz="4" w:color="1B365D"/>
              <w:bottom w:val="single" w:sz="4" w:color="1B365D"/>
              <w:right w:val="single" w:sz="4" w:color="1B365D"/>
            </w:tcBorders>
            <w:tcMar>
              <w:top w:w="60" w:type="dxa"/>
              <w:left w:w="80" w:type="dxa"/>
              <w:bottom w:w="60" w:type="dxa"/>
              <w:right w:w="80" w:type="dxa"/>
            </w:tcMar>
          </w:tcPr>
          <w:p>
            <w:pPr>
              <w:spacing w:before="40" w:after="40" w:line="259" w:lineRule="auto"/>
              <w:jc w:val="left"/>
            </w:pPr>
            <w:r/>
            <w:r>
              <w:rPr>
                <w:rFonts w:ascii="Calibri" w:hAnsi="Calibri" w:eastAsia="Calibri"/>
                <w:b/>
                <w:i w:val="0"/>
                <w:color w:val="FFFFFF"/>
                <w:sz w:val="18"/>
              </w:rPr>
              <w:t>Petugas</w:t>
            </w:r>
          </w:p>
        </w:tc>
        <w:tc>
          <w:tcPr>
            <w:tcW w:type="dxa" w:w="1587"/>
            <w:shd w:fill="1B365D" w:val="clear"/>
            <w:tcBorders>
              <w:top w:val="single" w:sz="4" w:color="1B365D"/>
              <w:left w:val="single" w:sz="4" w:color="1B365D"/>
              <w:bottom w:val="single" w:sz="4" w:color="1B365D"/>
              <w:right w:val="single" w:sz="4" w:color="1B365D"/>
            </w:tcBorders>
            <w:tcMar>
              <w:top w:w="60" w:type="dxa"/>
              <w:left w:w="80" w:type="dxa"/>
              <w:bottom w:w="60" w:type="dxa"/>
              <w:right w:w="80" w:type="dxa"/>
            </w:tcMar>
          </w:tcPr>
          <w:p>
            <w:pPr>
              <w:spacing w:before="40" w:after="40" w:line="259" w:lineRule="auto"/>
              <w:jc w:val="left"/>
            </w:pPr>
            <w:r/>
            <w:r>
              <w:rPr>
                <w:rFonts w:ascii="Calibri" w:hAnsi="Calibri" w:eastAsia="Calibri"/>
                <w:b/>
                <w:i w:val="0"/>
                <w:color w:val="FFFFFF"/>
                <w:sz w:val="18"/>
              </w:rPr>
              <w:t>Supervisor</w:t>
            </w:r>
          </w:p>
        </w:tc>
        <w:tc>
          <w:tcPr>
            <w:tcW w:type="dxa" w:w="1587"/>
            <w:shd w:fill="1B365D" w:val="clear"/>
            <w:tcBorders>
              <w:top w:val="single" w:sz="4" w:color="1B365D"/>
              <w:left w:val="single" w:sz="4" w:color="1B365D"/>
              <w:bottom w:val="single" w:sz="4" w:color="1B365D"/>
              <w:right w:val="single" w:sz="4" w:color="1B365D"/>
            </w:tcBorders>
            <w:tcMar>
              <w:top w:w="60" w:type="dxa"/>
              <w:left w:w="80" w:type="dxa"/>
              <w:bottom w:w="60" w:type="dxa"/>
              <w:right w:w="80" w:type="dxa"/>
            </w:tcMar>
          </w:tcPr>
          <w:p>
            <w:pPr>
              <w:spacing w:before="40" w:after="40" w:line="259" w:lineRule="auto"/>
              <w:jc w:val="left"/>
            </w:pPr>
            <w:r/>
            <w:r>
              <w:rPr>
                <w:rFonts w:ascii="Calibri" w:hAnsi="Calibri" w:eastAsia="Calibri"/>
                <w:b/>
                <w:i w:val="0"/>
                <w:color w:val="FFFFFF"/>
                <w:sz w:val="18"/>
              </w:rPr>
              <w:t>Manager</w:t>
            </w:r>
          </w:p>
        </w:tc>
        <w:tc>
          <w:tcPr>
            <w:tcW w:type="dxa" w:w="2154"/>
            <w:shd w:fill="1B365D" w:val="clear"/>
            <w:tcBorders>
              <w:top w:val="single" w:sz="4" w:color="1B365D"/>
              <w:left w:val="single" w:sz="4" w:color="1B365D"/>
              <w:bottom w:val="single" w:sz="4" w:color="1B365D"/>
              <w:right w:val="single" w:sz="4" w:color="1B365D"/>
            </w:tcBorders>
            <w:tcMar>
              <w:top w:w="60" w:type="dxa"/>
              <w:left w:w="80" w:type="dxa"/>
              <w:bottom w:w="60" w:type="dxa"/>
              <w:right w:w="80" w:type="dxa"/>
            </w:tcMar>
          </w:tcPr>
          <w:p>
            <w:pPr>
              <w:spacing w:before="40" w:after="40" w:line="259" w:lineRule="auto"/>
              <w:jc w:val="left"/>
            </w:pPr>
            <w:r/>
            <w:r>
              <w:rPr>
                <w:rFonts w:ascii="Calibri" w:hAnsi="Calibri" w:eastAsia="Calibri"/>
                <w:b/>
                <w:i w:val="0"/>
                <w:color w:val="FFFFFF"/>
                <w:sz w:val="18"/>
              </w:rPr>
              <w:t>Administrator</w:t>
            </w:r>
          </w:p>
        </w:tc>
      </w:tr>
      <w:tr>
        <w:tc>
          <w:tcPr>
            <w:tcW w:type="dxa" w:w="3061"/>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Membuat pengaduan</w:t>
            </w:r>
          </w:p>
        </w:tc>
        <w:tc>
          <w:tcPr>
            <w:tcW w:type="dxa" w:w="1587"/>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c>
          <w:tcPr>
            <w:tcW w:type="dxa" w:w="1587"/>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c>
          <w:tcPr>
            <w:tcW w:type="dxa" w:w="1587"/>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c>
          <w:tcPr>
            <w:tcW w:type="dxa" w:w="2154"/>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Tidak</w:t>
            </w:r>
          </w:p>
        </w:tc>
      </w:tr>
      <w:tr>
        <w:tc>
          <w:tcPr>
            <w:tcW w:type="dxa" w:w="3061"/>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Melihat case sendiri</w:t>
            </w:r>
          </w:p>
        </w:tc>
        <w:tc>
          <w:tcPr>
            <w:tcW w:type="dxa" w:w="1587"/>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c>
          <w:tcPr>
            <w:tcW w:type="dxa" w:w="1587"/>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c>
          <w:tcPr>
            <w:tcW w:type="dxa" w:w="1587"/>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c>
          <w:tcPr>
            <w:tcW w:type="dxa" w:w="2154"/>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r>
      <w:tr>
        <w:tc>
          <w:tcPr>
            <w:tcW w:type="dxa" w:w="3061"/>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Melihat semua case di unit</w:t>
            </w:r>
          </w:p>
        </w:tc>
        <w:tc>
          <w:tcPr>
            <w:tcW w:type="dxa" w:w="1587"/>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Tidak</w:t>
            </w:r>
          </w:p>
        </w:tc>
        <w:tc>
          <w:tcPr>
            <w:tcW w:type="dxa" w:w="1587"/>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c>
          <w:tcPr>
            <w:tcW w:type="dxa" w:w="1587"/>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c>
          <w:tcPr>
            <w:tcW w:type="dxa" w:w="2154"/>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Semua unit</w:t>
            </w:r>
          </w:p>
        </w:tc>
      </w:tr>
      <w:tr>
        <w:tc>
          <w:tcPr>
            <w:tcW w:type="dxa" w:w="3061"/>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Menugaskan / memindahkan case</w:t>
            </w:r>
          </w:p>
        </w:tc>
        <w:tc>
          <w:tcPr>
            <w:tcW w:type="dxa" w:w="1587"/>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Tidak</w:t>
            </w:r>
          </w:p>
        </w:tc>
        <w:tc>
          <w:tcPr>
            <w:tcW w:type="dxa" w:w="1587"/>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c>
          <w:tcPr>
            <w:tcW w:type="dxa" w:w="1587"/>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c>
          <w:tcPr>
            <w:tcW w:type="dxa" w:w="2154"/>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r>
      <w:tr>
        <w:tc>
          <w:tcPr>
            <w:tcW w:type="dxa" w:w="3061"/>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Eskalasi / tutup case</w:t>
            </w:r>
          </w:p>
        </w:tc>
        <w:tc>
          <w:tcPr>
            <w:tcW w:type="dxa" w:w="1587"/>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Tidak</w:t>
            </w:r>
          </w:p>
        </w:tc>
        <w:tc>
          <w:tcPr>
            <w:tcW w:type="dxa" w:w="1587"/>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c>
          <w:tcPr>
            <w:tcW w:type="dxa" w:w="1587"/>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c>
          <w:tcPr>
            <w:tcW w:type="dxa" w:w="2154"/>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r>
      <w:tr>
        <w:tc>
          <w:tcPr>
            <w:tcW w:type="dxa" w:w="3061"/>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Kelola user di unit</w:t>
            </w:r>
          </w:p>
        </w:tc>
        <w:tc>
          <w:tcPr>
            <w:tcW w:type="dxa" w:w="1587"/>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Tidak</w:t>
            </w:r>
          </w:p>
        </w:tc>
        <w:tc>
          <w:tcPr>
            <w:tcW w:type="dxa" w:w="1587"/>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c>
          <w:tcPr>
            <w:tcW w:type="dxa" w:w="1587"/>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c>
          <w:tcPr>
            <w:tcW w:type="dxa" w:w="2154"/>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r>
      <w:tr>
        <w:tc>
          <w:tcPr>
            <w:tcW w:type="dxa" w:w="3061"/>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Ubah pengaturan sistem</w:t>
            </w:r>
          </w:p>
        </w:tc>
        <w:tc>
          <w:tcPr>
            <w:tcW w:type="dxa" w:w="1587"/>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Tidak</w:t>
            </w:r>
          </w:p>
        </w:tc>
        <w:tc>
          <w:tcPr>
            <w:tcW w:type="dxa" w:w="1587"/>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Tidak</w:t>
            </w:r>
          </w:p>
        </w:tc>
        <w:tc>
          <w:tcPr>
            <w:tcW w:type="dxa" w:w="1587"/>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Tidak</w:t>
            </w:r>
          </w:p>
        </w:tc>
        <w:tc>
          <w:tcPr>
            <w:tcW w:type="dxa" w:w="2154"/>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Ya</w:t>
            </w:r>
          </w:p>
        </w:tc>
      </w:tr>
    </w:tbl>
    <w:p>
      <w:pPr>
        <w:spacing w:after="80" w:before="0" w:line="276" w:lineRule="auto"/>
      </w:pPr>
      <w:r>
        <w:rPr>
          <w:rFonts w:ascii="Calibri" w:hAnsi="Calibri" w:eastAsia="Calibri"/>
          <w:b w:val="0"/>
          <w:i/>
          <w:color w:val="334155"/>
          <w:sz w:val="19"/>
        </w:rPr>
        <w:t>Pada Pengaduan Internal, Supervisor/Manager memutus pindah unit dan gerbang tutup; Petugas tidak.</w:t>
      </w:r>
    </w:p>
    <w:p>
      <w:pPr>
        <w:spacing w:before="280" w:after="120"/>
        <w:pBdr>
          <w:bottom w:val="single" w:sz="12" w:space="4" w:color="B88A2E"/>
        </w:pBdr>
      </w:pPr>
      <w:r>
        <w:rPr>
          <w:rFonts w:ascii="Calibri" w:hAnsi="Calibri" w:eastAsia="Calibri"/>
          <w:b/>
          <w:i w:val="0"/>
          <w:color w:val="1B365D"/>
          <w:sz w:val="28"/>
        </w:rPr>
        <w:t>4.  Data yang terlihat</w:t>
      </w:r>
    </w:p>
    <w:p>
      <w:pPr>
        <w:pStyle w:val="ListBullet"/>
        <w:spacing w:after="60" w:before="0" w:line="269" w:lineRule="auto"/>
      </w:pPr>
      <w:r>
        <w:rPr>
          <w:rFonts w:ascii="Calibri" w:hAnsi="Calibri" w:eastAsia="Calibri"/>
          <w:b/>
          <w:i w:val="0"/>
          <w:color w:val="1B365D"/>
          <w:sz w:val="22"/>
        </w:rPr>
        <w:t xml:space="preserve">Peran operasional: </w:t>
      </w:r>
      <w:r>
        <w:rPr>
          <w:rFonts w:ascii="Calibri" w:hAnsi="Calibri" w:eastAsia="Calibri"/>
          <w:b w:val="0"/>
          <w:i w:val="0"/>
          <w:color w:val="334155"/>
          <w:sz w:val="22"/>
        </w:rPr>
        <w:t>akun Petugas, Supervisor, dan Manager wajib terikat ke satu unit (cabang atau Pusat).</w:t>
      </w:r>
    </w:p>
    <w:p>
      <w:pPr>
        <w:pStyle w:val="ListBullet"/>
        <w:spacing w:after="60" w:before="0" w:line="269" w:lineRule="auto"/>
      </w:pPr>
      <w:r>
        <w:rPr>
          <w:rFonts w:ascii="Calibri" w:hAnsi="Calibri" w:eastAsia="Calibri"/>
          <w:b/>
          <w:i w:val="0"/>
          <w:color w:val="1B365D"/>
          <w:sz w:val="22"/>
        </w:rPr>
        <w:t xml:space="preserve">Administrator: </w:t>
      </w:r>
      <w:r>
        <w:rPr>
          <w:rFonts w:ascii="Calibri" w:hAnsi="Calibri" w:eastAsia="Calibri"/>
          <w:b w:val="0"/>
          <w:i w:val="0"/>
          <w:color w:val="334155"/>
          <w:sz w:val="22"/>
        </w:rPr>
        <w:t>akun Administrator tidak terikat cabang.</w:t>
      </w:r>
    </w:p>
    <w:p>
      <w:pPr>
        <w:pStyle w:val="ListBullet"/>
        <w:spacing w:after="60" w:before="0" w:line="269" w:lineRule="auto"/>
      </w:pPr>
      <w:r>
        <w:rPr>
          <w:rFonts w:ascii="Calibri" w:hAnsi="Calibri" w:eastAsia="Calibri"/>
          <w:b/>
          <w:i w:val="0"/>
          <w:color w:val="1B365D"/>
          <w:sz w:val="22"/>
        </w:rPr>
        <w:t xml:space="preserve">Petugas: </w:t>
      </w:r>
      <w:r>
        <w:rPr>
          <w:rFonts w:ascii="Calibri" w:hAnsi="Calibri" w:eastAsia="Calibri"/>
          <w:b w:val="0"/>
          <w:i w:val="0"/>
          <w:color w:val="334155"/>
          <w:sz w:val="22"/>
        </w:rPr>
        <w:t>hanya case miliknya.</w:t>
      </w:r>
    </w:p>
    <w:p>
      <w:pPr>
        <w:pStyle w:val="ListBullet"/>
        <w:spacing w:after="60" w:before="0" w:line="269" w:lineRule="auto"/>
      </w:pPr>
      <w:r>
        <w:rPr>
          <w:rFonts w:ascii="Calibri" w:hAnsi="Calibri" w:eastAsia="Calibri"/>
          <w:b/>
          <w:i w:val="0"/>
          <w:color w:val="1B365D"/>
          <w:sz w:val="22"/>
        </w:rPr>
        <w:t xml:space="preserve">Supervisor / Manager: </w:t>
      </w:r>
      <w:r>
        <w:rPr>
          <w:rFonts w:ascii="Calibri" w:hAnsi="Calibri" w:eastAsia="Calibri"/>
          <w:b w:val="0"/>
          <w:i w:val="0"/>
          <w:color w:val="334155"/>
          <w:sz w:val="22"/>
        </w:rPr>
        <w:t>semua case di unit sendiri; tidak lintas cabang.</w:t>
      </w:r>
    </w:p>
    <w:p>
      <w:pPr>
        <w:pStyle w:val="ListBullet"/>
        <w:spacing w:after="60" w:before="0" w:line="269" w:lineRule="auto"/>
      </w:pPr>
      <w:r>
        <w:rPr>
          <w:rFonts w:ascii="Calibri" w:hAnsi="Calibri" w:eastAsia="Calibri"/>
          <w:b/>
          <w:i w:val="0"/>
          <w:color w:val="1B365D"/>
          <w:sz w:val="22"/>
        </w:rPr>
        <w:t xml:space="preserve">Administrator: </w:t>
      </w:r>
      <w:r>
        <w:rPr>
          <w:rFonts w:ascii="Calibri" w:hAnsi="Calibri" w:eastAsia="Calibri"/>
          <w:b w:val="0"/>
          <w:i w:val="0"/>
          <w:color w:val="334155"/>
          <w:sz w:val="22"/>
        </w:rPr>
        <w:t>seluruh unit.</w:t>
      </w:r>
    </w:p>
    <w:p>
      <w:pPr>
        <w:spacing w:before="280" w:after="120"/>
        <w:pBdr>
          <w:bottom w:val="single" w:sz="12" w:space="4" w:color="B88A2E"/>
        </w:pBdr>
      </w:pPr>
      <w:r>
        <w:rPr>
          <w:rFonts w:ascii="Calibri" w:hAnsi="Calibri" w:eastAsia="Calibri"/>
          <w:b/>
          <w:i w:val="0"/>
          <w:color w:val="1B365D"/>
          <w:sz w:val="28"/>
        </w:rPr>
        <w:t>5.  Jika akses tidak sesuai</w:t>
      </w:r>
    </w:p>
    <w:p>
      <w:pPr>
        <w:pStyle w:val="ListBullet"/>
        <w:spacing w:after="60" w:before="0" w:line="269" w:lineRule="auto"/>
      </w:pPr>
      <w:r>
        <w:rPr>
          <w:rFonts w:ascii="Calibri" w:hAnsi="Calibri" w:eastAsia="Calibri"/>
          <w:b w:val="0"/>
          <w:i w:val="0"/>
          <w:color w:val="334155"/>
          <w:sz w:val="22"/>
        </w:rPr>
        <w:t>Pastikan Anda masuk dengan akun sendiri.</w:t>
      </w:r>
    </w:p>
    <w:p>
      <w:pPr>
        <w:pStyle w:val="ListBullet"/>
        <w:spacing w:after="60" w:before="0" w:line="269" w:lineRule="auto"/>
      </w:pPr>
      <w:r>
        <w:rPr>
          <w:rFonts w:ascii="Calibri" w:hAnsi="Calibri" w:eastAsia="Calibri"/>
          <w:b w:val="0"/>
          <w:i w:val="0"/>
          <w:color w:val="334155"/>
          <w:sz w:val="22"/>
        </w:rPr>
        <w:t>Cek nama peran di profil. Nama di layar itulah yang berlaku, bukan gelar jabatan di surat tugas.</w:t>
      </w:r>
    </w:p>
    <w:p>
      <w:pPr>
        <w:pStyle w:val="ListBullet"/>
        <w:spacing w:after="60" w:before="0" w:line="269" w:lineRule="auto"/>
      </w:pPr>
      <w:r>
        <w:rPr>
          <w:rFonts w:ascii="Calibri" w:hAnsi="Calibri" w:eastAsia="Calibri"/>
          <w:b w:val="0"/>
          <w:i w:val="0"/>
          <w:color w:val="334155"/>
          <w:sz w:val="22"/>
        </w:rPr>
        <w:t>Hubungi Administrator unit Anda. Jangan meminjam akun rekan.</w:t>
      </w:r>
    </w:p>
    <w:p>
      <w:pPr>
        <w:pStyle w:val="ListBullet"/>
        <w:spacing w:after="60" w:before="0" w:line="269" w:lineRule="auto"/>
      </w:pPr>
      <w:r>
        <w:rPr>
          <w:rFonts w:ascii="Calibri" w:hAnsi="Calibri" w:eastAsia="Calibri"/>
          <w:b w:val="0"/>
          <w:i w:val="0"/>
          <w:color w:val="334155"/>
          <w:sz w:val="22"/>
        </w:rPr>
        <w:t>Administrator tidak boleh menaikkan peran di luar wewenangnya (lihat lampiran).</w:t>
      </w:r>
    </w:p>
    <w:p>
      <w:pPr>
        <w:spacing w:before="280" w:after="120"/>
        <w:pBdr>
          <w:bottom w:val="single" w:sz="12" w:space="4" w:color="B88A2E"/>
        </w:pBdr>
      </w:pPr>
      <w:r>
        <w:rPr>
          <w:rFonts w:ascii="Calibri" w:hAnsi="Calibri" w:eastAsia="Calibri"/>
          <w:b/>
          <w:i w:val="0"/>
          <w:color w:val="1B365D"/>
          <w:sz w:val="28"/>
        </w:rPr>
        <w:t>Lampiran A  ·  Catatan untuk Administrator</w:t>
      </w:r>
    </w:p>
    <w:p>
      <w:pPr>
        <w:spacing w:after="160" w:before="0" w:line="276" w:lineRule="auto"/>
      </w:pPr>
      <w:r>
        <w:rPr>
          <w:rFonts w:ascii="Calibri" w:hAnsi="Calibri" w:eastAsia="Calibri"/>
          <w:b w:val="0"/>
          <w:i w:val="0"/>
          <w:color w:val="334155"/>
          <w:sz w:val="22"/>
        </w:rPr>
        <w:t>Bagian ini untuk petugas yang menugaskan peran. Pengguna operasional tidak perlu menghafalnya.</w:t>
      </w:r>
    </w:p>
    <w:p>
      <w:pPr>
        <w:spacing w:before="200" w:after="120"/>
      </w:pPr>
      <w:r>
        <w:rPr>
          <w:rFonts w:ascii="Calibri" w:hAnsi="Calibri" w:eastAsia="Calibri"/>
          <w:b/>
          <w:i w:val="0"/>
          <w:color w:val="1B365D"/>
          <w:sz w:val="24"/>
        </w:rPr>
        <w:t>A.1  Nama di layar dan kode di sistem</w:t>
      </w:r>
    </w:p>
    <w:tbl>
      <w:tblPr>
        <w:tblW w:type="auto" w:w="0"/>
        <w:jc w:val="center"/>
        <w:tblLayout w:type="fixed"/>
        <w:tblLook w:firstColumn="1" w:firstRow="1" w:lastColumn="0" w:lastRow="0" w:noHBand="0" w:noVBand="1" w:val="04A0"/>
      </w:tblPr>
      <w:tblGrid>
        <w:gridCol w:w="3289"/>
        <w:gridCol w:w="3289"/>
        <w:gridCol w:w="3289"/>
      </w:tblGrid>
      <w:tr>
        <w:tc>
          <w:tcPr>
            <w:tcW w:type="dxa" w:w="2494"/>
            <w:shd w:fill="1B365D" w:val="clear"/>
            <w:tcBorders>
              <w:top w:val="single" w:sz="4" w:color="1B365D"/>
              <w:left w:val="single" w:sz="4" w:color="1B365D"/>
              <w:bottom w:val="single" w:sz="4" w:color="1B365D"/>
              <w:right w:val="single" w:sz="4" w:color="1B365D"/>
            </w:tcBorders>
            <w:tcMar>
              <w:top w:w="60" w:type="dxa"/>
              <w:left w:w="80" w:type="dxa"/>
              <w:bottom w:w="60" w:type="dxa"/>
              <w:right w:w="80" w:type="dxa"/>
            </w:tcMar>
          </w:tcPr>
          <w:p>
            <w:pPr>
              <w:spacing w:before="40" w:after="40" w:line="259" w:lineRule="auto"/>
              <w:jc w:val="left"/>
            </w:pPr>
            <w:r/>
            <w:r>
              <w:rPr>
                <w:rFonts w:ascii="Calibri" w:hAnsi="Calibri" w:eastAsia="Calibri"/>
                <w:b/>
                <w:i w:val="0"/>
                <w:color w:val="FFFFFF"/>
                <w:sz w:val="18"/>
              </w:rPr>
              <w:t>Nama di layar</w:t>
            </w:r>
          </w:p>
        </w:tc>
        <w:tc>
          <w:tcPr>
            <w:tcW w:type="dxa" w:w="2494"/>
            <w:shd w:fill="1B365D" w:val="clear"/>
            <w:tcBorders>
              <w:top w:val="single" w:sz="4" w:color="1B365D"/>
              <w:left w:val="single" w:sz="4" w:color="1B365D"/>
              <w:bottom w:val="single" w:sz="4" w:color="1B365D"/>
              <w:right w:val="single" w:sz="4" w:color="1B365D"/>
            </w:tcBorders>
            <w:tcMar>
              <w:top w:w="60" w:type="dxa"/>
              <w:left w:w="80" w:type="dxa"/>
              <w:bottom w:w="60" w:type="dxa"/>
              <w:right w:w="80" w:type="dxa"/>
            </w:tcMar>
          </w:tcPr>
          <w:p>
            <w:pPr>
              <w:spacing w:before="40" w:after="40" w:line="259" w:lineRule="auto"/>
              <w:jc w:val="left"/>
            </w:pPr>
            <w:r/>
            <w:r>
              <w:rPr>
                <w:rFonts w:ascii="Calibri" w:hAnsi="Calibri" w:eastAsia="Calibri"/>
                <w:b/>
                <w:i w:val="0"/>
                <w:color w:val="FFFFFF"/>
                <w:sz w:val="18"/>
              </w:rPr>
              <w:t>Kode yang dipilih</w:t>
            </w:r>
          </w:p>
        </w:tc>
        <w:tc>
          <w:tcPr>
            <w:tcW w:type="dxa" w:w="4989"/>
            <w:shd w:fill="1B365D" w:val="clear"/>
            <w:tcBorders>
              <w:top w:val="single" w:sz="4" w:color="1B365D"/>
              <w:left w:val="single" w:sz="4" w:color="1B365D"/>
              <w:bottom w:val="single" w:sz="4" w:color="1B365D"/>
              <w:right w:val="single" w:sz="4" w:color="1B365D"/>
            </w:tcBorders>
            <w:tcMar>
              <w:top w:w="60" w:type="dxa"/>
              <w:left w:w="80" w:type="dxa"/>
              <w:bottom w:w="60" w:type="dxa"/>
              <w:right w:w="80" w:type="dxa"/>
            </w:tcMar>
          </w:tcPr>
          <w:p>
            <w:pPr>
              <w:spacing w:before="40" w:after="40" w:line="259" w:lineRule="auto"/>
              <w:jc w:val="left"/>
            </w:pPr>
            <w:r/>
            <w:r>
              <w:rPr>
                <w:rFonts w:ascii="Calibri" w:hAnsi="Calibri" w:eastAsia="Calibri"/>
                <w:b/>
                <w:i w:val="0"/>
                <w:color w:val="FFFFFF"/>
                <w:sz w:val="18"/>
              </w:rPr>
              <w:t>Jangan dipilih di form</w:t>
            </w:r>
          </w:p>
        </w:tc>
      </w:tr>
      <w:tr>
        <w:tc>
          <w:tcPr>
            <w:tcW w:type="dxa" w:w="2494"/>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Petugas</w:t>
            </w:r>
          </w:p>
        </w:tc>
        <w:tc>
          <w:tcPr>
            <w:tcW w:type="dxa" w:w="2494"/>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AGENT</w:t>
            </w:r>
          </w:p>
        </w:tc>
        <w:tc>
          <w:tcPr>
            <w:tcW w:type="dxa" w:w="4989"/>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CS_AGENT, HANDLER, BRANCH_OFFICER (sisa alias)</w:t>
            </w:r>
          </w:p>
        </w:tc>
      </w:tr>
      <w:tr>
        <w:tc>
          <w:tcPr>
            <w:tcW w:type="dxa" w:w="2494"/>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Supervisor</w:t>
            </w:r>
          </w:p>
        </w:tc>
        <w:tc>
          <w:tcPr>
            <w:tcW w:type="dxa" w:w="2494"/>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SUPERVISOR</w:t>
            </w:r>
          </w:p>
        </w:tc>
        <w:tc>
          <w:tcPr>
            <w:tcW w:type="dxa" w:w="4989"/>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BRANCH_SUPERVISOR (sisa alias)</w:t>
            </w:r>
          </w:p>
        </w:tc>
      </w:tr>
      <w:tr>
        <w:tc>
          <w:tcPr>
            <w:tcW w:type="dxa" w:w="2494"/>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Manager</w:t>
            </w:r>
          </w:p>
        </w:tc>
        <w:tc>
          <w:tcPr>
            <w:tcW w:type="dxa" w:w="2494"/>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MANAGER</w:t>
            </w:r>
          </w:p>
        </w:tc>
        <w:tc>
          <w:tcPr>
            <w:tcW w:type="dxa" w:w="4989"/>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w:t>
            </w:r>
          </w:p>
        </w:tc>
      </w:tr>
      <w:tr>
        <w:tc>
          <w:tcPr>
            <w:tcW w:type="dxa" w:w="2494"/>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Administrator</w:t>
            </w:r>
          </w:p>
        </w:tc>
        <w:tc>
          <w:tcPr>
            <w:tcW w:type="dxa" w:w="2494"/>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ADMIN</w:t>
            </w:r>
          </w:p>
        </w:tc>
        <w:tc>
          <w:tcPr>
            <w:tcW w:type="dxa" w:w="4989"/>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ADMINISTRATOR, SUPER_ADMIN (sisa alias / darurat)</w:t>
            </w:r>
          </w:p>
        </w:tc>
      </w:tr>
    </w:tbl>
    <w:tbl>
      <w:tblPr>
        <w:tblW w:type="auto" w:w="0"/>
        <w:jc w:val="center"/>
        <w:tblLook w:firstColumn="1" w:firstRow="1" w:lastColumn="0" w:lastRow="0" w:noHBand="0" w:noVBand="1" w:val="04A0"/>
      </w:tblPr>
      <w:tblGrid>
        <w:gridCol w:w="9866"/>
      </w:tblGrid>
      <w:tr>
        <w:tc>
          <w:tcPr>
            <w:tcW w:type="dxa" w:w="9866"/>
            <w:shd w:fill="F7F1E3" w:val="clear"/>
            <w:tcBorders>
              <w:top w:val="single" w:sz="8" w:color="B88A2E"/>
              <w:left w:val="single" w:sz="8" w:color="B88A2E"/>
              <w:bottom w:val="single" w:sz="8" w:color="B88A2E"/>
              <w:right w:val="single" w:sz="8" w:color="B88A2E"/>
            </w:tcBorders>
            <w:tcMar>
              <w:top w:w="100" w:type="dxa"/>
              <w:left w:w="120" w:type="dxa"/>
              <w:bottom w:w="100" w:type="dxa"/>
              <w:right w:w="120" w:type="dxa"/>
            </w:tcMar>
          </w:tcPr>
          <w:p>
            <w:pPr>
              <w:spacing w:after="40"/>
            </w:pPr>
            <w:r/>
            <w:r>
              <w:rPr>
                <w:rFonts w:ascii="Calibri" w:hAnsi="Calibri" w:eastAsia="Calibri"/>
                <w:b/>
                <w:i w:val="0"/>
                <w:color w:val="1B365D"/>
                <w:sz w:val="21"/>
              </w:rPr>
              <w:t>Bukan peran pengguna</w:t>
            </w:r>
          </w:p>
          <w:p>
            <w:pPr>
              <w:spacing w:after="0"/>
            </w:pPr>
            <w:r>
              <w:rPr>
                <w:rFonts w:ascii="Calibri" w:hAnsi="Calibri" w:eastAsia="Calibri"/>
                <w:b w:val="0"/>
                <w:i w:val="0"/>
                <w:color w:val="334155"/>
                <w:sz w:val="21"/>
              </w:rPr>
              <w:t>Peninjau (VIEWER), Penjadwal Pusat (HO_SCHEDULER), dan Teknisi Pusat (HO_ENGINEER) tidak ditawarkan di layar buat/ubah pengguna. Jangan menugaskannya. Pekerjaan Pusat = Petugas/Supervisor/Manager dengan unit Pusat.</w:t>
            </w:r>
          </w:p>
        </w:tc>
      </w:tr>
    </w:tbl>
    <w:p/>
    <w:p>
      <w:pPr>
        <w:spacing w:before="200" w:after="120"/>
      </w:pPr>
      <w:r>
        <w:rPr>
          <w:rFonts w:ascii="Calibri" w:hAnsi="Calibri" w:eastAsia="Calibri"/>
          <w:b/>
          <w:i w:val="0"/>
          <w:color w:val="1B365D"/>
          <w:sz w:val="24"/>
        </w:rPr>
        <w:t>A.2  Siapa boleh menugaskan peran</w:t>
      </w:r>
    </w:p>
    <w:tbl>
      <w:tblPr>
        <w:tblW w:type="auto" w:w="0"/>
        <w:jc w:val="center"/>
        <w:tblLayout w:type="fixed"/>
        <w:tblLook w:firstColumn="1" w:firstRow="1" w:lastColumn="0" w:lastRow="0" w:noHBand="0" w:noVBand="1" w:val="04A0"/>
      </w:tblPr>
      <w:tblGrid>
        <w:gridCol w:w="4933"/>
        <w:gridCol w:w="4933"/>
      </w:tblGrid>
      <w:tr>
        <w:tc>
          <w:tcPr>
            <w:tcW w:type="dxa" w:w="4195"/>
            <w:shd w:fill="1B365D" w:val="clear"/>
            <w:tcBorders>
              <w:top w:val="single" w:sz="4" w:color="1B365D"/>
              <w:left w:val="single" w:sz="4" w:color="1B365D"/>
              <w:bottom w:val="single" w:sz="4" w:color="1B365D"/>
              <w:right w:val="single" w:sz="4" w:color="1B365D"/>
            </w:tcBorders>
            <w:tcMar>
              <w:top w:w="60" w:type="dxa"/>
              <w:left w:w="80" w:type="dxa"/>
              <w:bottom w:w="60" w:type="dxa"/>
              <w:right w:w="80" w:type="dxa"/>
            </w:tcMar>
          </w:tcPr>
          <w:p>
            <w:pPr>
              <w:spacing w:before="40" w:after="40" w:line="259" w:lineRule="auto"/>
              <w:jc w:val="left"/>
            </w:pPr>
            <w:r/>
            <w:r>
              <w:rPr>
                <w:rFonts w:ascii="Calibri" w:hAnsi="Calibri" w:eastAsia="Calibri"/>
                <w:b/>
                <w:i w:val="0"/>
                <w:color w:val="FFFFFF"/>
                <w:sz w:val="18"/>
              </w:rPr>
              <w:t>Peran pemanggil</w:t>
            </w:r>
          </w:p>
        </w:tc>
        <w:tc>
          <w:tcPr>
            <w:tcW w:type="dxa" w:w="5783"/>
            <w:shd w:fill="1B365D" w:val="clear"/>
            <w:tcBorders>
              <w:top w:val="single" w:sz="4" w:color="1B365D"/>
              <w:left w:val="single" w:sz="4" w:color="1B365D"/>
              <w:bottom w:val="single" w:sz="4" w:color="1B365D"/>
              <w:right w:val="single" w:sz="4" w:color="1B365D"/>
            </w:tcBorders>
            <w:tcMar>
              <w:top w:w="60" w:type="dxa"/>
              <w:left w:w="80" w:type="dxa"/>
              <w:bottom w:w="60" w:type="dxa"/>
              <w:right w:w="80" w:type="dxa"/>
            </w:tcMar>
          </w:tcPr>
          <w:p>
            <w:pPr>
              <w:spacing w:before="40" w:after="40" w:line="259" w:lineRule="auto"/>
              <w:jc w:val="left"/>
            </w:pPr>
            <w:r/>
            <w:r>
              <w:rPr>
                <w:rFonts w:ascii="Calibri" w:hAnsi="Calibri" w:eastAsia="Calibri"/>
                <w:b/>
                <w:i w:val="0"/>
                <w:color w:val="FFFFFF"/>
                <w:sz w:val="18"/>
              </w:rPr>
              <w:t>Boleh menugaskan</w:t>
            </w:r>
          </w:p>
        </w:tc>
      </w:tr>
      <w:tr>
        <w:tc>
          <w:tcPr>
            <w:tcW w:type="dxa" w:w="4195"/>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Administrator</w:t>
            </w:r>
          </w:p>
        </w:tc>
        <w:tc>
          <w:tcPr>
            <w:tcW w:type="dxa" w:w="5783"/>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Petugas, Supervisor, Manager, Administrator</w:t>
            </w:r>
          </w:p>
        </w:tc>
      </w:tr>
      <w:tr>
        <w:tc>
          <w:tcPr>
            <w:tcW w:type="dxa" w:w="4195"/>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Supervisor / Manager</w:t>
            </w:r>
          </w:p>
        </w:tc>
        <w:tc>
          <w:tcPr>
            <w:tcW w:type="dxa" w:w="5783"/>
            <w:shd w:fill="F4F6F9"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Hanya Petugas</w:t>
            </w:r>
          </w:p>
        </w:tc>
      </w:tr>
      <w:tr>
        <w:tc>
          <w:tcPr>
            <w:tcW w:type="dxa" w:w="4195"/>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i w:val="0"/>
                <w:color w:val="334155"/>
                <w:sz w:val="19"/>
              </w:rPr>
              <w:t>Petugas</w:t>
            </w:r>
          </w:p>
        </w:tc>
        <w:tc>
          <w:tcPr>
            <w:tcW w:type="dxa" w:w="5783"/>
            <w:shd w:fill="FFFFFF" w:val="clear"/>
            <w:tcBorders>
              <w:top w:val="single" w:sz="4" w:color="CBD5E1"/>
              <w:left w:val="single" w:sz="4" w:color="CBD5E1"/>
              <w:bottom w:val="single" w:sz="4" w:color="CBD5E1"/>
              <w:right w:val="single" w:sz="4" w:color="CBD5E1"/>
            </w:tcBorders>
            <w:tcMar>
              <w:top w:w="60" w:type="dxa"/>
              <w:left w:w="80" w:type="dxa"/>
              <w:bottom w:w="60" w:type="dxa"/>
              <w:right w:w="80" w:type="dxa"/>
            </w:tcMar>
          </w:tcPr>
          <w:p>
            <w:pPr>
              <w:spacing w:before="40" w:after="40" w:line="259" w:lineRule="auto"/>
              <w:jc w:val="left"/>
            </w:pPr>
            <w:r/>
            <w:r>
              <w:rPr>
                <w:rFonts w:ascii="Calibri" w:hAnsi="Calibri" w:eastAsia="Calibri"/>
                <w:b w:val="0"/>
                <w:i w:val="0"/>
                <w:color w:val="334155"/>
                <w:sz w:val="19"/>
              </w:rPr>
              <w:t>Tidak boleh menugaskan peran</w:t>
            </w:r>
          </w:p>
        </w:tc>
      </w:tr>
    </w:tbl>
    <w:p>
      <w:pPr>
        <w:spacing w:after="160" w:before="0" w:line="276" w:lineRule="auto"/>
      </w:pPr>
      <w:r>
        <w:rPr>
          <w:rFonts w:ascii="Calibri" w:hAnsi="Calibri" w:eastAsia="Calibri"/>
          <w:b w:val="0"/>
          <w:i/>
          <w:color w:val="334155"/>
          <w:sz w:val="20"/>
        </w:rPr>
        <w:t>Supervisor tidak boleh menugaskan Supervisor, Manager, atau Administrator kepada orang lain. Ini mencegah kenaikan wewenang tanpa kendali.</w:t>
      </w:r>
    </w:p>
    <w:p>
      <w:pPr>
        <w:spacing w:before="200" w:after="120"/>
      </w:pPr>
      <w:r>
        <w:rPr>
          <w:rFonts w:ascii="Calibri" w:hAnsi="Calibri" w:eastAsia="Calibri"/>
          <w:b/>
          <w:i w:val="0"/>
          <w:color w:val="1B365D"/>
          <w:sz w:val="24"/>
        </w:rPr>
        <w:t>A.3  Aturan wajib</w:t>
      </w:r>
    </w:p>
    <w:p>
      <w:pPr>
        <w:pStyle w:val="ListBullet"/>
        <w:spacing w:after="60" w:before="0" w:line="269" w:lineRule="auto"/>
      </w:pPr>
      <w:r>
        <w:rPr>
          <w:rFonts w:ascii="Calibri" w:hAnsi="Calibri" w:eastAsia="Calibri"/>
          <w:b/>
          <w:i w:val="0"/>
          <w:color w:val="1B365D"/>
          <w:sz w:val="22"/>
        </w:rPr>
        <w:t xml:space="preserve">Unit wajib. </w:t>
      </w:r>
      <w:r>
        <w:rPr>
          <w:rFonts w:ascii="Calibri" w:hAnsi="Calibri" w:eastAsia="Calibri"/>
          <w:b w:val="0"/>
          <w:i w:val="0"/>
          <w:color w:val="334155"/>
          <w:sz w:val="22"/>
        </w:rPr>
        <w:t>Petugas, Supervisor, dan Manager harus punya unit. Jangan simpan akun operasional tanpa unit.</w:t>
      </w:r>
    </w:p>
    <w:p>
      <w:pPr>
        <w:pStyle w:val="ListBullet"/>
        <w:spacing w:after="60" w:before="0" w:line="269" w:lineRule="auto"/>
      </w:pPr>
      <w:r>
        <w:rPr>
          <w:rFonts w:ascii="Calibri" w:hAnsi="Calibri" w:eastAsia="Calibri"/>
          <w:b/>
          <w:i w:val="0"/>
          <w:color w:val="1B365D"/>
          <w:sz w:val="22"/>
        </w:rPr>
        <w:t xml:space="preserve">Satu peran utama. </w:t>
      </w:r>
      <w:r>
        <w:rPr>
          <w:rFonts w:ascii="Calibri" w:hAnsi="Calibri" w:eastAsia="Calibri"/>
          <w:b w:val="0"/>
          <w:i w:val="0"/>
          <w:color w:val="334155"/>
          <w:sz w:val="22"/>
        </w:rPr>
        <w:t>Satu akun, satu peran utama. Jangan tumpuk Administrator di akun petugas operasional.</w:t>
      </w:r>
    </w:p>
    <w:p>
      <w:pPr>
        <w:pStyle w:val="ListBullet"/>
        <w:spacing w:after="60" w:before="0" w:line="269" w:lineRule="auto"/>
      </w:pPr>
      <w:r>
        <w:rPr>
          <w:rFonts w:ascii="Calibri" w:hAnsi="Calibri" w:eastAsia="Calibri"/>
          <w:b/>
          <w:i w:val="0"/>
          <w:color w:val="1B365D"/>
          <w:sz w:val="22"/>
        </w:rPr>
        <w:t xml:space="preserve">Admin bukan petugas. </w:t>
      </w:r>
      <w:r>
        <w:rPr>
          <w:rFonts w:ascii="Calibri" w:hAnsi="Calibri" w:eastAsia="Calibri"/>
          <w:b w:val="0"/>
          <w:i w:val="0"/>
          <w:color w:val="334155"/>
          <w:sz w:val="22"/>
        </w:rPr>
        <w:t>Administrator tidak membuat pengaduan. Untuk uji alur buat pengaduan, pakai akun Petugas.</w:t>
      </w:r>
    </w:p>
    <w:p>
      <w:pPr>
        <w:pStyle w:val="ListBullet"/>
        <w:spacing w:after="60" w:before="0" w:line="269" w:lineRule="auto"/>
      </w:pPr>
      <w:r>
        <w:rPr>
          <w:rFonts w:ascii="Calibri" w:hAnsi="Calibri" w:eastAsia="Calibri"/>
          <w:b/>
          <w:i w:val="0"/>
          <w:color w:val="1B365D"/>
          <w:sz w:val="22"/>
        </w:rPr>
        <w:t xml:space="preserve">Jangan pakai sisa katalog. </w:t>
      </w:r>
      <w:r>
        <w:rPr>
          <w:rFonts w:ascii="Calibri" w:hAnsi="Calibri" w:eastAsia="Calibri"/>
          <w:b w:val="0"/>
          <w:i w:val="0"/>
          <w:color w:val="334155"/>
          <w:sz w:val="22"/>
        </w:rPr>
        <w:t>Jangan menugaskan VIEWER, HO_SCHEDULER, atau HO_ENGINEER. Form pengguna sudah menyembunyikannya.</w:t>
      </w:r>
    </w:p>
    <w:p>
      <w:pPr>
        <w:pStyle w:val="ListBullet"/>
        <w:spacing w:after="60" w:before="0" w:line="269" w:lineRule="auto"/>
      </w:pPr>
      <w:r>
        <w:rPr>
          <w:rFonts w:ascii="Calibri" w:hAnsi="Calibri" w:eastAsia="Calibri"/>
          <w:b/>
          <w:i w:val="0"/>
          <w:color w:val="1B365D"/>
          <w:sz w:val="22"/>
        </w:rPr>
        <w:t xml:space="preserve">Bukan SSO. </w:t>
      </w:r>
      <w:r>
        <w:rPr>
          <w:rFonts w:ascii="Calibri" w:hAnsi="Calibri" w:eastAsia="Calibri"/>
          <w:b w:val="0"/>
          <w:i w:val="0"/>
          <w:color w:val="334155"/>
          <w:sz w:val="22"/>
        </w:rPr>
        <w:t>Login perusahaan bukan wewenang modul ini.</w:t>
      </w:r>
    </w:p>
    <w:p>
      <w:pPr>
        <w:spacing w:before="200" w:after="120"/>
      </w:pPr>
      <w:r>
        <w:rPr>
          <w:rFonts w:ascii="Calibri" w:hAnsi="Calibri" w:eastAsia="Calibri"/>
          <w:b/>
          <w:i w:val="0"/>
          <w:color w:val="1B365D"/>
          <w:sz w:val="24"/>
        </w:rPr>
        <w:t>A.4  Pesan yang aman disampaikan ke pengguna</w:t>
      </w:r>
    </w:p>
    <w:p>
      <w:pPr>
        <w:pStyle w:val="ListBullet"/>
        <w:spacing w:after="60" w:before="0" w:line="269" w:lineRule="auto"/>
      </w:pPr>
      <w:r>
        <w:rPr>
          <w:rFonts w:ascii="Calibri" w:hAnsi="Calibri" w:eastAsia="Calibri"/>
          <w:b w:val="0"/>
          <w:i w:val="0"/>
          <w:color w:val="334155"/>
          <w:sz w:val="22"/>
        </w:rPr>
        <w:t>“Peran Anda menentukan tombol yang muncul. Jika tombol tidak ada, itu sesuai aturan, bukan kerusakan.”</w:t>
      </w:r>
    </w:p>
    <w:p>
      <w:pPr>
        <w:pStyle w:val="ListBullet"/>
        <w:spacing w:after="60" w:before="0" w:line="269" w:lineRule="auto"/>
      </w:pPr>
      <w:r>
        <w:rPr>
          <w:rFonts w:ascii="Calibri" w:hAnsi="Calibri" w:eastAsia="Calibri"/>
          <w:b w:val="0"/>
          <w:i w:val="0"/>
          <w:color w:val="334155"/>
          <w:sz w:val="22"/>
        </w:rPr>
        <w:t>“Hanya ada empat peran: Petugas, Supervisor, Manager, dan Administrator.”</w:t>
      </w:r>
    </w:p>
    <w:p>
      <w:pPr>
        <w:pStyle w:val="ListBullet"/>
        <w:spacing w:after="60" w:before="0" w:line="269" w:lineRule="auto"/>
      </w:pPr>
      <w:r>
        <w:rPr>
          <w:rFonts w:ascii="Calibri" w:hAnsi="Calibri" w:eastAsia="Calibri"/>
          <w:b w:val="0"/>
          <w:i w:val="0"/>
          <w:color w:val="334155"/>
          <w:sz w:val="22"/>
        </w:rPr>
        <w:t>“Petugas hanya melihat pekerjaannya sendiri. Supervisor/Manager melihat seluruh unitnya.”</w:t>
      </w:r>
    </w:p>
    <w:p>
      <w:pPr>
        <w:pStyle w:val="ListBullet"/>
        <w:spacing w:after="60" w:before="0" w:line="269" w:lineRule="auto"/>
      </w:pPr>
      <w:r>
        <w:rPr>
          <w:rFonts w:ascii="Calibri" w:hAnsi="Calibri" w:eastAsia="Calibri"/>
          <w:b w:val="0"/>
          <w:i w:val="0"/>
          <w:color w:val="334155"/>
          <w:sz w:val="22"/>
        </w:rPr>
        <w:t>“Pusat tidak otomatis melihat semua cabang. Pekerjaan Pusat memakai peran yang sama, dengan unit Pusat.”</w:t>
      </w:r>
    </w:p>
    <w:p>
      <w:pPr>
        <w:pStyle w:val="ListBullet"/>
        <w:spacing w:after="60" w:before="0" w:line="269" w:lineRule="auto"/>
      </w:pPr>
      <w:r>
        <w:rPr>
          <w:rFonts w:ascii="Calibri" w:hAnsi="Calibri" w:eastAsia="Calibri"/>
          <w:b w:val="0"/>
          <w:i w:val="0"/>
          <w:color w:val="334155"/>
          <w:sz w:val="22"/>
        </w:rPr>
        <w:t>“Minta perubahan peran secara tertulis kepada Administrator, bukan dengan saling pinjam akun.”</w:t>
      </w:r>
    </w:p>
    <w:p>
      <w:pPr>
        <w:spacing w:before="320"/>
      </w:pPr>
      <w:r>
        <w:rPr>
          <w:rFonts w:ascii="Calibri" w:hAnsi="Calibri" w:eastAsia="Calibri"/>
          <w:b w:val="0"/>
          <w:i/>
          <w:color w:val="64748B"/>
          <w:sz w:val="18"/>
        </w:rPr>
        <w:t>Dokumen ini merangkum perilaku layar modul pengaduan untuk pengguna.</w:t>
      </w:r>
    </w:p>
    <w:sectPr w:rsidR="00FC693F" w:rsidRPr="0006063C" w:rsidSect="00034616">
      <w:footerReference w:type="default" r:id="rId9"/>
      <w:pgSz w:w="11906" w:h="16838"/>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64748B"/>
        <w:sz w:val="16"/>
      </w:rPr>
      <w:t>PELAYANAN  ·  Panduan Peran Pengguna  ·  v1.1  ·  Agustus 2026</w:t>
    </w:r>
    <w:r>
      <w:t xml:space="preserve">    |    </w:t>
    </w:r>
    <w:r>
      <w:rPr>
        <w:rFonts w:ascii="Calibri" w:hAnsi="Calibri" w:eastAsia="Calibri"/>
        <w:b w:val="0"/>
        <w:i w:val="0"/>
        <w:color w:val="64748B"/>
        <w:sz w:val="16"/>
      </w:rPr>
      <w:t xml:space="preserve">Halaman </w:t>
    </w:r>
    <w:r>
      <w:rPr>
        <w:rFonts w:ascii="Calibri" w:hAnsi="Calibri" w:eastAsia="Calibri"/>
        <w:b w:val="0"/>
        <w:i w:val="0"/>
        <w:color w:val="64748B"/>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