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  <w:r>
        <w:rPr>
          <w:rFonts w:ascii="Arial" w:cs="Arial" w:eastAsia="Arial" w:hAnsi="Arial"/>
          <w:b/>
          <w:bCs/>
          <w:color w:val="0D0D0D"/>
          <w:sz w:val="60"/>
          <w:szCs w:val="60"/>
        </w:rPr>
        <w:t xml:space="preserve">ARI CONSULTING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4"/>
          <w:szCs w:val="24"/>
        </w:rPr>
        <w:t xml:space="preserve">Consultoria Oracle  ·  São Paulo — Capital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1700"/>
        <w:gridCol w:w="1700"/>
        <w:gridCol w:w="1700"/>
      </w:tblGrid>
      <w:tr>
        <w:tc>
          <w:tcPr>
            <w:tcW w:type="dxa" w:w="17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ORACLE</w:t>
            </w:r>
          </w:p>
        </w:tc>
        <w:tc>
          <w:tcPr>
            <w:tcW w:type="dxa" w:w="17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CLOUD</w:t>
            </w:r>
          </w:p>
        </w:tc>
        <w:tc>
          <w:tcPr>
            <w:tcW w:type="dxa" w:w="17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CONSULTORIA</w:t>
            </w:r>
          </w:p>
        </w:tc>
        <w:tc>
          <w:tcPr>
            <w:tcW w:type="dxa" w:w="17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BUSINESS</w:t>
            </w:r>
          </w:p>
        </w:tc>
      </w:tr>
    </w:tbl>
    <w:p>
      <w:pPr>
        <w:spacing w:after="5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PROPOSTA COMERCIAL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0D0D0D"/>
          <w:sz w:val="40"/>
          <w:szCs w:val="40"/>
        </w:rPr>
        <w:t>Nº 082/2026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160"/>
      </w:tblGrid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DATA DE EMISSÃO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01/10/2026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VÁLIDA ATÉ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31/10/2026 — 30 dias corridos</w:t>
            </w:r>
          </w:p>
        </w:tc>
      </w:tr>
    </w:tbl>
    <w:p>
      <w:pPr>
        <w:spacing w:after="100" w:before="4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DADOS DO CLIENTE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160"/>
      </w:tblGrid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EMPRESA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Vetria Embalagens Industriais S.A.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CNPJ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78.901.234/0001-56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SETOR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Indústria — Embalagens plásticas e flexíveis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CONTATO PRINCIPAL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Roberto Alencar (CFO) | Eng. Paulo Nagata (CIO)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EMAIL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roberto.alencar@vetria.com.br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TELEFONE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(47) 3451-8900 / Joinville — SC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DADOS DA ARI CONSULTING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160"/>
      </w:tblGrid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CONSULTOR RESPONSÁVEL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Carlos Eduardo Silveira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EMAIL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carlos.silveira@ariconsulting.com.br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TELEFONE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(11) 3045-8800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GERENTE DE CONTAS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Mariana Prado (Diretora de Contas Enterprise)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ENDEREÇO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São Paulo — SP, Capital</w:t>
            </w:r>
          </w:p>
        </w:tc>
      </w:tr>
    </w:tbl>
    <w:p>
      <w:r>
        <w:br w:type="page"/>
      </w:r>
    </w:p>
    <w:p>
      <w:pPr>
        <w:spacing w:after="60" w:before="4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01 / 05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Entendimento do contexto</w:t>
      </w:r>
    </w:p>
    <w:p>
      <w:pPr>
        <w:spacing w:after="160" w:line="340"/>
      </w:pPr>
      <w:r>
        <w:t>Compreendemos que a Vetria Embalagens Industriais S.A. consolidou-se como uma das maiores fabricantes de embalagens plásticas e flexíveis da Região Sul do Brasil, operando 5 plantas industriais distribuídas em Santa Catarina, Paraná e Rio Grande do Sul, faturamento anual de aproximadamente R$ 680 milhões e mais de 1.450 colaboradores. O crescimento acelerado por aquisições entre 2022 e 2025 agregou escala de mercado, mas também gerou uma arquitetura tecnológica fragmentada: a coexistência simultânea de três ERPs distintos (Totvs Protheus na matriz, Sankhya em duas unidades e um sistema proprietário em Delphi na planta mais antiga). Atualmente, a controladoria corporativa atua como um 'tradutor manual' contínuo entre esses três ambientes.</w:t>
      </w:r>
    </w:p>
    <w:p>
      <w:pPr>
        <w:spacing w:after="160" w:line="340"/>
      </w:pPr>
      <w:r>
        <w:t>Essa dispersão de sistemas acarreta dores operacionais críticas para a governança corporativa: (1) O fechamento contábil mensal consome 14 dias úteis decorrente da consolidação manual de planos de contas incompatíveis via planilhas — muito distante da meta do CFO Roberto Alencar de 5 dias úteis; (2) Contas a Pagar descentralizado e sem alçadas unificadas gerou 23 pagamentos duplicados no último ano, totalizando R$ 340 mil recuperados com esforço jurídico; (3) A apuração da posição de caixa consome 3 horas diárias cruzando 11 contas bancárias, sendo finalizada após as 11h, inviabilizando decisões ideais de tesouraria; (4) O parque de 4.200 ativos industriais é depreciado em planilhas heterogêneas, gerando apontamentos em auditorias externas.</w:t>
      </w:r>
    </w:p>
    <w:p>
      <w:pPr>
        <w:shd w:fill="F9F9F9" w:val="clear"/>
        <w:spacing w:after="120" w:before="120" w:line="340"/>
        <w:ind w:left="240" w:right="240"/>
      </w:pPr>
      <w:r>
        <w:t>A presente proposta visa sanear integralmente esses gargalos através da implantação do Oracle Fusion Cloud Financials e da integração inteligente de sistemas legados, garantindo governança contábil unificada antes do início do ciclo orçamentário de 2027 (1º de setembro de 2026), respeitando a transição gradual sem ruptura operacional fabril.</w:t>
      </w:r>
    </w:p>
    <w:p>
      <w:pPr>
        <w:spacing w:after="100"/>
      </w:pPr>
      <w:r>
        <w:t>Com esse diagnóstico preciso, a ARI CONSULTING desenhou uma solução sob medida para garantir estabilidade, automação e visibilidade contínua para a diretoria executiva da Vetria.</w:t>
      </w:r>
    </w:p>
    <w:p>
      <w:pPr>
        <w:spacing w:after="60" w:before="4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02 / 05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Solução proposta</w:t>
      </w:r>
    </w:p>
    <w:p>
      <w:pPr>
        <w:spacing w:after="160" w:line="340"/>
      </w:pPr>
      <w:r>
        <w:t>Para responder com precisão às prioridades da Vetria Embalagens, recomendamos a contratação de dois serviços complementares do catálogo oficial da ARI CONSULTING, assegurando modernização com risco zero: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SERVIÇO 01</w:t>
      </w:r>
    </w:p>
    <w:p>
      <w:pPr>
        <w:spacing w:after="140"/>
      </w:pPr>
      <w:r>
        <w:rPr>
          <w:b/>
        </w:rPr>
        <w:t>Implementação Oracle ERP Cloud (Financials)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Objetivo para este cliente:</w:t>
      </w:r>
    </w:p>
    <w:p>
      <w:pPr>
        <w:spacing w:after="160" w:line="340"/>
      </w:pPr>
      <w:r>
        <w:t>Implantar uma espinha dorsal contábil e financeira única em nuvem para as 5 plantas da Vetria, centralizando a governança corporativa, acelerando o fechamento fiscal e blindando o contas a pagar contra pagamentos indevidos.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Escopo incluído: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>• General Ledger (GL): Plano de contas corporativo único, estrutura de centros de custos padronizada e consolidação contábil automática para fechamento em até 5 dias úteis.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>• Accounts Payable (AP): Centralização de pagamentos, governança por alçadas rígidas de aprovação e conferência preventiva contra faturas em duplicidade.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>• Cash Management: Conciliação bancária automatizada para as 11 contas bancárias, projetando fluxo de caixa consolidado logo no início da manhã.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SERVIÇO 02</w:t>
      </w:r>
    </w:p>
    <w:p>
      <w:pPr>
        <w:spacing w:after="140"/>
      </w:pPr>
      <w:r>
        <w:rPr>
          <w:b/>
        </w:rPr>
        <w:t>Integração Oracle com Sistemas Legados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Objetivo para este cliente:</w:t>
      </w:r>
    </w:p>
    <w:p>
      <w:pPr>
        <w:spacing w:after="160" w:line="340"/>
      </w:pPr>
      <w:r>
        <w:t>Garantir a operação contínua e a convivência das plantas industriais durante a transição de 6 a 12 meses, conforme diretriz do CIO Eng. Paulo Nagata, eliminando qualquer abordagem de 'big bang'.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Escopo incluído: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>• Oracle Integration Cloud (OIC): Desenvolvimento de conectores seguros e homologados entre o Oracle Cloud e os sistemas Totvs Protheus, Sankhya e Delphi.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>• Fluxo Automatizado de Dados: Recepção em lote e em tempo real de notas fiscais, movimentações de compras e partidas contábeis sem redigitação manual.</w:t>
      </w:r>
    </w:p>
    <w:p>
      <w:pPr>
        <w:spacing w:after="100"/>
      </w:pPr>
      <w:r>
        <w:t>• Monitoramento &amp; Resiliência: Painel de gestão de mensageria com reprocessamento automático de falhas e trilha de auditoria completa de cada integração.</w:t>
      </w:r>
    </w:p>
    <w:p>
      <w:r>
        <w:br w:type="page"/>
      </w:r>
    </w:p>
    <w:p>
      <w:pPr>
        <w:spacing w:after="60" w:before="4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03 / 05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Metodologia e cronograma</w:t>
      </w:r>
    </w:p>
    <w:p>
      <w:pPr>
        <w:spacing w:after="160" w:line="34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A ARI CONSULTING conduz todos os projetos pela metodologia Oracle Cloud Implementation Methodology (OCIM), adaptada ao contexto de cada cliente. As fases são:</w:t>
      </w:r>
    </w:p>
    <w:p>
      <w:pPr>
        <w:spacing w:after="40" w:before="200"/>
      </w:pPr>
      <w:r>
        <w:rPr>
          <w:b/>
        </w:rPr>
        <w:t>FASE 1 — DESCOBERTA   Semanas 1 a 3</w:t>
      </w:r>
    </w:p>
    <w:p>
      <w:pPr>
        <w:spacing w:after="160" w:line="340"/>
      </w:pPr>
      <w:r>
        <w:t>Alinhamento de escopo executivo, formação do comitê de projeto, levantamento detalhado das especificidades contábeis das 5 plantas e mapa de requisitos de integração.</w:t>
      </w:r>
    </w:p>
    <w:p>
      <w:pPr>
        <w:spacing w:after="40" w:before="200"/>
      </w:pPr>
      <w:r>
        <w:rPr>
          <w:b/>
        </w:rPr>
        <w:t>FASE 2 — DESIGN   Semanas 4 a 7</w:t>
      </w:r>
    </w:p>
    <w:p>
      <w:pPr>
        <w:spacing w:after="160" w:line="340"/>
      </w:pPr>
      <w:r>
        <w:t>Desenho do plano de contas corporativo unificado, validação do modelo contábil TO-BE com a controladoria e especificação técnica dos conectores OIC para Protheus, Sankhya e Delphi.</w:t>
      </w:r>
    </w:p>
    <w:p>
      <w:pPr>
        <w:spacing w:after="40" w:before="200"/>
      </w:pPr>
      <w:r>
        <w:rPr>
          <w:b/>
        </w:rPr>
        <w:t>FASE 3 — BUILD   Semanas 8 a 13</w:t>
      </w:r>
    </w:p>
    <w:p>
      <w:pPr>
        <w:spacing w:after="160" w:line="340"/>
      </w:pPr>
      <w:r>
        <w:t>Parametrização integral dos módulos GL, AP e Cash Management no Oracle Cloud, desenvolvimento dos fluxos de integração OIC e esteira de carga de saldos históricos.</w:t>
      </w:r>
    </w:p>
    <w:p>
      <w:pPr>
        <w:spacing w:after="40" w:before="200"/>
      </w:pPr>
      <w:r>
        <w:rPr>
          <w:b/>
        </w:rPr>
        <w:t>FASE 4 — TESTES   Semanas 14 a 16</w:t>
      </w:r>
    </w:p>
    <w:p>
      <w:pPr>
        <w:spacing w:after="160" w:line="340"/>
      </w:pPr>
      <w:r>
        <w:t>Testes integrados ponta a ponta (SIT), homologação dos fluxos com key users fabris (UAT) e simulação assistida de fechamento contábil mensal em 5 dias.</w:t>
      </w:r>
    </w:p>
    <w:p>
      <w:pPr>
        <w:spacing w:after="40" w:before="200"/>
      </w:pPr>
      <w:r>
        <w:rPr>
          <w:b/>
        </w:rPr>
        <w:t>FASE 5 — GO-LIVE   Semana 17 (31/08/2026)</w:t>
      </w:r>
    </w:p>
    <w:p>
      <w:pPr>
        <w:spacing w:after="160" w:line="340"/>
      </w:pPr>
      <w:r>
        <w:t>Virada de chave e entrada oficial em produção do Oracle Financials antes de 01/09/2026, com suporte operacional intensivo (hypercare presencial e remoto) nas 2 primeiras semanas.</w:t>
      </w:r>
    </w:p>
    <w:p>
      <w:pPr>
        <w:spacing w:after="40" w:before="200"/>
      </w:pPr>
      <w:r>
        <w:rPr>
          <w:b/>
        </w:rPr>
        <w:t>FASE 6 — HIPERESCALADA   Semanas 18 a 20 (3 semanas pós go-live)</w:t>
      </w:r>
    </w:p>
    <w:p>
      <w:pPr>
        <w:spacing w:after="160" w:line="340"/>
      </w:pPr>
      <w:r>
        <w:t>Acompanhamento do primeiro fechamento contábil oficial, validação de conciliações, transferência de conhecimento aos administradores e encerramento formal do projeto.</w:t>
      </w:r>
    </w:p>
    <w:p>
      <w:pPr>
        <w:spacing w:after="100" w:before="240"/>
      </w:pP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160"/>
      </w:tblGrid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PREVISÃO DE INÍCIO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04/05/2026 (ou a confirmar na assinatura)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PREVISÃO DE GO-LIVE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31/08/2026 (Go-live operacional antes de 01/09/2026)</w:t>
            </w:r>
          </w:p>
        </w:tc>
      </w:tr>
      <w:tr>
        <w:tc>
          <w:tcPr>
            <w:tcW w:type="dxa" w:w="3200"/>
            <w:shd w:fill="F9F9F9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DURAÇÃO TOTAL</w:t>
            </w:r>
          </w:p>
        </w:tc>
        <w:tc>
          <w:tcPr>
            <w:tcW w:type="dxa" w:w="6160"/>
            <w:shd w:fill="F9F9F9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120 dias corridos (17 semanas de implementação + 3 semanas de estabilização)</w:t>
            </w:r>
          </w:p>
        </w:tc>
      </w:tr>
    </w:tbl>
    <w:p>
      <w:r>
        <w:br w:type="page"/>
      </w:r>
    </w:p>
    <w:p>
      <w:pPr>
        <w:spacing w:after="60" w:before="4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04 / 05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Investimento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shd w:fill="0D0D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SERVIÇO</w:t>
            </w:r>
          </w:p>
        </w:tc>
        <w:tc>
          <w:tcPr>
            <w:tcW w:type="dxa" w:w="2000"/>
            <w:shd w:fill="0D0D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PRAZO</w:t>
            </w:r>
          </w:p>
        </w:tc>
        <w:tc>
          <w:tcPr>
            <w:tcW w:type="dxa" w:w="2360"/>
            <w:shd w:fill="0D0D0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INVESTIMENTO</w:t>
            </w:r>
          </w:p>
        </w:tc>
      </w:tr>
      <w:tr>
        <w:tc>
          <w:tcPr>
            <w:tcW w:type="dxa" w:w="500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Implementação Oracle ERP Cloud (Financials)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120 dias corridos</w:t>
            </w:r>
          </w:p>
        </w:tc>
        <w:tc>
          <w:tcPr>
            <w:tcW w:type="dxa" w:w="236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0"/>
                <w:bCs w:val="false"/>
                <w:color w:val="0D0D0D"/>
                <w:sz w:val="20"/>
                <w:szCs w:val="20"/>
              </w:rPr>
              <w:t>R$ 255.000,00</w:t>
            </w:r>
          </w:p>
        </w:tc>
      </w:tr>
      <w:tr>
        <w:tc>
          <w:tcPr>
            <w:tcW w:type="dxa" w:w="5000"/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Integração Oracle com Sistemas Legados (OIC)</w:t>
            </w:r>
          </w:p>
        </w:tc>
        <w:tc>
          <w:tcPr>
            <w:tcW w:type="dxa" w:w="2000"/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60 dias corridos</w:t>
            </w:r>
          </w:p>
        </w:tc>
        <w:tc>
          <w:tcPr>
            <w:tcW w:type="dxa" w:w="2360"/>
            <w:shd w:fill="F9F9F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0"/>
                <w:bCs w:val="false"/>
                <w:color w:val="0D0D0D"/>
                <w:sz w:val="20"/>
                <w:szCs w:val="20"/>
              </w:rPr>
              <w:t>R$ 90.000,00</w:t>
            </w:r>
          </w:p>
        </w:tc>
      </w:tr>
      <w:tr>
        <w:tc>
          <w:tcPr>
            <w:tcW w:type="dxa" w:w="500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Desconto Comercial Especial (10% — Pacote Combinado 2+ Serviços)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0"/>
                <w:szCs w:val="20"/>
              </w:rPr>
              <w:t>—</w:t>
            </w:r>
          </w:p>
        </w:tc>
        <w:tc>
          <w:tcPr>
            <w:tcW w:type="dxa" w:w="2360"/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0"/>
                <w:bCs w:val="false"/>
                <w:color w:val="0D0D0D"/>
                <w:sz w:val="20"/>
                <w:szCs w:val="20"/>
              </w:rPr>
              <w:t>- R$ 34.500,00</w:t>
            </w:r>
          </w:p>
        </w:tc>
      </w:tr>
      <w:tr>
        <w:tc>
          <w:tcPr>
            <w:tcW w:type="dxa" w:w="5000"/>
            <w:shd w:fill="F9F9F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>TOTAL DO PROJETO (INVESTIMENTO LÍQUIDO)</w:t>
            </w:r>
          </w:p>
        </w:tc>
        <w:tc>
          <w:tcPr>
            <w:tcW w:type="dxa" w:w="2000"/>
            <w:shd w:fill="F9F9F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>120 dias corridos</w:t>
            </w:r>
          </w:p>
        </w:tc>
        <w:tc>
          <w:tcPr>
            <w:tcW w:type="dxa" w:w="2360"/>
            <w:shd w:fill="F9F9F9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>R$ 310.500,00</w:t>
            </w:r>
          </w:p>
        </w:tc>
      </w:tr>
    </w:tbl>
    <w:p>
      <w:pPr>
        <w:spacing w:before="160"/>
      </w:pPr>
    </w:p>
    <w:p>
      <w:pPr>
        <w:spacing w:after="100"/>
      </w:pPr>
      <w:r>
        <w:t>POLÍTICA COMERCIAL &amp; TETO ORÇAMENTÁRIO:</w:t>
        <w:br/>
        <w:t>Valor Bruto Consolidado: R$ 345.000,00. Pela contratação simultânea de 2 serviços estratégicos (Financials + Integração), aplicamos o Desconto Comercial de Pacote de 10% (-R$ 34.500,00), fixando o Investimento Líquido Total em R$ 310.500,00. Esse valor respeita rigorosamente o teto orçamentário aprovado pelo Conselho de Administração da Vetria de R$ 350.000,00, gerando uma economia imediata de R$ 39.500,00 sobre o orçamento autorizado.</w:t>
      </w:r>
    </w:p>
    <w:p>
      <w:pPr>
        <w:spacing w:after="160" w:line="340"/>
      </w:pPr>
      <w:r>
        <w:rPr>
          <w:rFonts w:ascii="Arial" w:cs="Arial" w:eastAsia="Arial" w:hAnsi="Arial"/>
          <w:b/>
          <w:bCs/>
          <w:color w:val="0D0D0D"/>
          <w:sz w:val="21"/>
          <w:szCs w:val="21"/>
        </w:rPr>
        <w:t xml:space="preserve">Condições de pagamento: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>• 30% na Assinatura do Contrato: R$ 93.150,00 (mobilização e início da Fase de Descoberta)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>• 40% na Conclusão da Fase de Build: R$ 124.200,00 (entrega de módulos parametrizados e conectores OIC)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t>• 30% na Homologação e Go-Live confirmado: R$ 93.150,00 (corte operacional em 31/08/2026)</w:t>
      </w:r>
    </w:p>
    <w:p>
      <w:pPr>
        <w:spacing w:before="160"/>
      </w:pPr>
      <w:r>
        <w:rPr>
          <w:b/>
        </w:rPr>
        <w:t>GOVERNANÇA &amp; ALÇADA EXECUTIVA (CONTRATO &gt; R$ 200.000,00):</w:t>
        <w:br/>
        <w:t>Em estrita observância à política de governança da ARI CONSULTING para propostas com investimento superior a R$ 200.000,00, esta oferta inclui o Estudo de Caso de Referência (Benchmarking Proposta 047 - Banco Central Sul e Proposta 061 - Logística Norte) disponibilizado pela diretoria de Marketing e conta com a revisão e aprovação formal da Gerência de Contas Enterprise antes do envio ao cliente.</w:t>
      </w:r>
    </w:p>
    <w:p>
      <w:pPr>
        <w:spacing w:after="100"/>
      </w:pPr>
      <w:r>
        <w:t>Validade desta proposta: 30 dias corridos a partir da emissão (válida até 31/10/2026).</w:t>
      </w:r>
    </w:p>
    <w:p>
      <w:pPr>
        <w:spacing w:after="100"/>
      </w:pPr>
      <w:r>
        <w:t>Valores em Reais (BRL). Não incluem impostos sobre serviços (ISS).</w:t>
      </w:r>
    </w:p>
    <w:p>
      <w:pPr>
        <w:spacing w:after="60" w:before="4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05 / 05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Próximos passos</w:t>
      </w:r>
    </w:p>
    <w:p>
      <w:pPr>
        <w:spacing w:after="160" w:line="34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Para avançarmos com este projeto, propomos os seguintes passos:</w:t>
      </w:r>
    </w:p>
    <w:p>
      <w:pPr>
        <w:spacing w:after="100" w:line="340"/>
      </w:pPr>
      <w:r>
        <w:t>01  Revisão e validação interna desta proposta pelo CFO Roberto Alencar e conselho da Vetria</w:t>
      </w:r>
    </w:p>
    <w:p>
      <w:pPr>
        <w:spacing w:after="100" w:line="340"/>
      </w:pPr>
      <w:r>
        <w:t>02  Reunião de alinhamento técnico-executivo com o consultor responsável (Carlos Silveira) e CIO Paulo Nagata</w:t>
      </w:r>
    </w:p>
    <w:p>
      <w:pPr>
        <w:spacing w:after="100" w:line="340"/>
      </w:pPr>
      <w:r>
        <w:t>03  Assinatura do contrato de prestação de serviços e respectiva ordem de serviço</w:t>
      </w:r>
    </w:p>
    <w:p>
      <w:pPr>
        <w:spacing w:after="100" w:line="340"/>
      </w:pPr>
      <w:r>
        <w:t>04  Kickoff oficial do projeto em Joinville / remoto (até 10 dias após a assinatura)</w:t>
      </w:r>
    </w:p>
    <w:p>
      <w:pPr>
        <w:spacing w:after="160" w:line="340"/>
      </w:pPr>
      <w:r>
        <w:rPr>
          <w:rFonts w:ascii="Arial" w:cs="Arial" w:eastAsia="Arial" w:hAnsi="Arial"/>
          <w:color w:val="0D0D0D"/>
          <w:sz w:val="21"/>
          <w:szCs w:val="21"/>
        </w:rPr>
        <w:t xml:space="preserve">Estamos à disposição para esclarecer qualquer dúvida ou adaptar o escopo conforme necessário.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D0D0D"/>
          <w:sz w:val="22"/>
          <w:szCs w:val="22"/>
        </w:rPr>
        <w:t xml:space="preserve">Vamos começar  →</w:t>
      </w:r>
    </w:p>
    <w:p>
      <w:pPr>
        <w:pBdr>
          <w:top w:val="single" w:color="0D0D0D" w:sz="4"/>
        </w:pBdr>
        <w:spacing w:before="400"/>
      </w:pPr>
    </w:p>
    <w:p>
      <w:pPr>
        <w:spacing w:after="40" w:before="160"/>
      </w:pPr>
      <w:r>
        <w:rPr>
          <w:b/>
        </w:rPr>
        <w:t>Carlos Eduardo Silveira</w:t>
      </w:r>
    </w:p>
    <w:p>
      <w:pPr>
        <w:spacing w:after="100"/>
      </w:pPr>
      <w:r>
        <w:t>Consultor Sênior de Soluções Oracle Cloud</w:t>
      </w:r>
    </w:p>
    <w:p>
      <w:pPr>
        <w:spacing w:after="40"/>
      </w:pPr>
      <w:r>
        <w:t>ARI CONSULTING</w:t>
      </w:r>
    </w:p>
    <w:p>
      <w:pPr>
        <w:spacing w:after="100"/>
      </w:pPr>
      <w:r>
        <w:t>São Paulo — Capital</w:t>
      </w:r>
    </w:p>
    <w:p>
      <w:pPr>
        <w:spacing w:after="100"/>
      </w:pPr>
      <w:r>
        <w:t>carlos.silveira@ariconsulting.com.br  |  (11) 3045-8800</w:t>
      </w:r>
    </w:p>
    <w:sectPr>
      <w:pgSz w:w="11906" w:h="16838" w:orient="portrait"/>
      <w:pgMar w:top="1200" w:right="1250" w:bottom="12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0D0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3C7EF18AA1694F8D22666414AFBF49" ma:contentTypeVersion="14" ma:contentTypeDescription="Crie um novo documento." ma:contentTypeScope="" ma:versionID="551b41f358fadbd2f64b11a33e8beaa5">
  <xsd:schema xmlns:xsd="http://www.w3.org/2001/XMLSchema" xmlns:xs="http://www.w3.org/2001/XMLSchema" xmlns:p="http://schemas.microsoft.com/office/2006/metadata/properties" xmlns:ns2="a71ccb9b-6e14-42cb-bb7f-4a7eed2524ef" xmlns:ns3="a7f4a7b7-966e-48e5-a98f-43d258599049" targetNamespace="http://schemas.microsoft.com/office/2006/metadata/properties" ma:root="true" ma:fieldsID="985fd29bf7c618b73b0bad9698733ffa" ns2:_="" ns3:_="">
    <xsd:import namespace="a71ccb9b-6e14-42cb-bb7f-4a7eed2524ef"/>
    <xsd:import namespace="a7f4a7b7-966e-48e5-a98f-43d2585990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ccb9b-6e14-42cb-bb7f-4a7eed252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f4a7b7-966e-48e5-a98f-43d25859904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13490ee-2866-4fa6-adf5-3d08f67af8ac}" ma:internalName="TaxCatchAll" ma:showField="CatchAllData" ma:web="a7f4a7b7-966e-48e5-a98f-43d2585990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f4a7b7-966e-48e5-a98f-43d258599049" xsi:nil="true"/>
    <lcf76f155ced4ddcb4097134ff3c332f xmlns="a71ccb9b-6e14-42cb-bb7f-4a7eed2524e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612635-2461-423A-BC58-F13AC893CE27}"/>
</file>

<file path=customXml/itemProps2.xml><?xml version="1.0" encoding="utf-8"?>
<ds:datastoreItem xmlns:ds="http://schemas.openxmlformats.org/officeDocument/2006/customXml" ds:itemID="{12337505-F0AD-4928-A268-1AB1A30766AF}"/>
</file>

<file path=customXml/itemProps3.xml><?xml version="1.0" encoding="utf-8"?>
<ds:datastoreItem xmlns:ds="http://schemas.openxmlformats.org/officeDocument/2006/customXml" ds:itemID="{98455DE8-BA59-4DD9-8813-F400F0F62E8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2026-07-12T14:44:47Z</dcterms:created>
  <dcterms:modified xsi:type="dcterms:W3CDTF">2026-07-12T14:44:47Z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0x010100C43C7EF18AA1694F8D22666414AFBF49</vt:lpwstr>
  </property>
</Properties>
</file>