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Plano de Campanhas Comerciais 2026</w:t>
      </w:r>
    </w:p>
    <w:p>
      <w:pPr>
        <w:jc w:val="center"/>
      </w:pPr>
      <w:r>
        <w:rPr>
          <w:i/>
          <w:sz w:val="21"/>
        </w:rPr>
        <w:t>Documento simulado para upload no Google Drive</w:t>
      </w:r>
    </w:p>
    <w:p/>
    <w:p>
      <w:pPr>
        <w:pStyle w:val="Heading1"/>
      </w:pPr>
      <w:r>
        <w:t>Objetivo</w:t>
      </w:r>
    </w:p>
    <w:p>
      <w:r>
        <w:t>Registrar o planejamento promocional utilizado pela NovaMétrica no primeiro semestre de 2026, com foco nas campanhas já refletidas nas bases de vendas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Campanha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Categorias foco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Liquida Verão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10/01 a 31/01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Casa, Moda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Acelerar giro pós-festas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Desconto moderado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Semana do Consumidor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10/03 a 18/03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Eletrônicos, Casa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Ampliar volume de pedidos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Desconto mais agressivo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Páscoa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25/03 a 05/04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Beleza, Casa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Aumentar conversão em combos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Ações segmentadas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Frete Turbo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12/04 a 26/04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Todas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Elevar fechamento de carrinho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Benefício logístico</w:t>
            </w:r>
          </w:p>
        </w:tc>
      </w:tr>
    </w:tbl>
    <w:p>
      <w:pPr>
        <w:pStyle w:val="Heading1"/>
      </w:pPr>
      <w:r>
        <w:t>Perguntas abertas para análise</w:t>
      </w:r>
    </w:p>
    <w:p>
      <w:pPr>
        <w:pStyle w:val="ListBullet"/>
      </w:pPr>
      <w:r>
        <w:t>Qual campanha elevou mais a receita líquida?</w:t>
      </w:r>
    </w:p>
    <w:p>
      <w:pPr>
        <w:pStyle w:val="ListBullet"/>
      </w:pPr>
      <w:r>
        <w:t>Em quais campanhas a margem ficou mais pressionada?</w:t>
      </w:r>
    </w:p>
    <w:p>
      <w:pPr>
        <w:pStyle w:val="ListBullet"/>
      </w:pPr>
      <w:r>
        <w:t>Quais categorias reagiram melhor a cada estímulo comercial?</w:t>
      </w:r>
    </w:p>
    <w:p>
      <w:pPr>
        <w:pStyle w:val="ListBullet"/>
      </w:pPr>
      <w:r>
        <w:t>Há indícios de excesso de desconto sem ganho proporcional de resultado?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