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939E2"/>
          <w:sz w:val="22"/>
          <w:szCs w:val="22"/>
        </w:rPr>
        <w:t xml:space="preserve">RIBUZZ</w:t>
      </w:r>
    </w:p>
    <w:p>
      <w:pPr>
        <w:pStyle w:val="Title"/>
        <w:spacing w:after="100"/>
      </w:pPr>
      <w:r>
        <w:rPr>
          <w:b/>
          <w:bCs/>
        </w:rPr>
        <w:t xml:space="preserve">Auditoría de comunicación de venta y embudo</w:t>
      </w:r>
    </w:p>
    <w:p>
      <w:pPr>
        <w:spacing w:after="400"/>
      </w:pPr>
      <w:r>
        <w:rPr>
          <w:i/>
          <w:iCs/>
          <w:color w:val="5A6072"/>
        </w:rPr>
        <w:t xml:space="preserve">Sitio ribuzz.vercel.app — 11 de julio de 2026</w:t>
      </w:r>
    </w:p>
    <w:p>
      <w:pPr>
        <w:pStyle w:val="Heading1"/>
        <w:spacing w:after="200" w:before="400"/>
      </w:pPr>
      <w:r>
        <w:rPr>
          <w:b/>
          <w:bCs/>
          <w:color w:val="6939E2"/>
        </w:rPr>
        <w:t xml:space="preserve">Resumen ejecutivo</w:t>
      </w:r>
    </w:p>
    <w:p>
      <w:pPr>
        <w:spacing w:after="160"/>
      </w:pPr>
      <w:r>
        <w:t xml:space="preserve">El sitio tiene una secuencia de venta deliberada y bien construida (atención → problema → prueba → filtro → oferta → objeciones → acción), un modelo de precios por etapa claro, y un wizard de calificación con scoring y ruteo automático — nada de esto es trivial para una operación en etapa temprana. El problema no es falta de estructura: es que la propia estructura se contradice en dos puntos que cuestan ingresos hoy (quién califica como cliente, y qué camino sigue un prospecto para hablar con RiBuzz), se diluye en dos puntos que cuestan atención (contenido duplicado, promesa de tiempo incumplida), y — según esta revisión — en un punto presenta como decidido algo que la propia base de conocimiento de RiBuzz marca como pendiente. Esta versión incorpora tres referentes externos (30X Business School, Growth Rockstar y EOS Worldwide) y los filtra contra la Matriz IA General de RiBuzz (identidad, ICP y modelo de negocio) para separar lo que aplica de lo que no.</w:t>
      </w:r>
    </w:p>
    <w:p>
      <w:pPr>
        <w:pStyle w:val="Heading1"/>
        <w:spacing w:after="200" w:before="400"/>
      </w:pPr>
      <w:r>
        <w:rPr>
          <w:b/>
          <w:bCs/>
          <w:color w:val="6939E2"/>
        </w:rPr>
        <w:t xml:space="preserve">1. Diagnóstico — mapa del embudo actual</w:t>
      </w:r>
    </w:p>
    <w:p>
      <w:pPr>
        <w:spacing w:after="160"/>
      </w:pPr>
      <w:r>
        <w:t xml:space="preserve">Páginas revisadas: Home, Cómo trabajamos, Sobre RiBuzz, Diagnóstico, Contacto, Regalos, Portafolio, más navegación y footer. Se excluyeron las landings de clientes individuales (hoteles, marcas personales) por no ser parte del embudo comercial de RiBuzz.</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400"/>
      </w:tblGrid>
      <w:tr>
        <w:trPr>
          <w:tblHeader/>
        </w:trPr>
        <w:tc>
          <w:tcPr>
            <w:tcW w:type="dxa" w:w="2200"/>
            <w:shd w:fill="6939E2" w:val="clear"/>
            <w:tcMar>
              <w:top w:type="dxa" w:w="100"/>
              <w:left w:type="dxa" w:w="120"/>
              <w:bottom w:type="dxa" w:w="100"/>
              <w:right w:type="dxa" w:w="120"/>
            </w:tcMar>
          </w:tcPr>
          <w:p>
            <w:r>
              <w:rPr>
                <w:b/>
                <w:bCs/>
                <w:color w:val="FFFFFF"/>
                <w:sz w:val="20"/>
                <w:szCs w:val="20"/>
              </w:rPr>
              <w:t xml:space="preserve">Página</w:t>
            </w:r>
          </w:p>
        </w:tc>
        <w:tc>
          <w:tcPr>
            <w:tcW w:type="dxa" w:w="1900"/>
            <w:shd w:fill="6939E2" w:val="clear"/>
            <w:tcMar>
              <w:top w:type="dxa" w:w="100"/>
              <w:left w:type="dxa" w:w="120"/>
              <w:bottom w:type="dxa" w:w="100"/>
              <w:right w:type="dxa" w:w="120"/>
            </w:tcMar>
          </w:tcPr>
          <w:p>
            <w:r>
              <w:rPr>
                <w:b/>
                <w:bCs/>
                <w:color w:val="FFFFFF"/>
                <w:sz w:val="20"/>
                <w:szCs w:val="20"/>
              </w:rPr>
              <w:t xml:space="preserve">Etapa del embudo</w:t>
            </w:r>
          </w:p>
        </w:tc>
        <w:tc>
          <w:tcPr>
            <w:tcW w:type="dxa" w:w="5400"/>
            <w:shd w:fill="6939E2" w:val="clear"/>
            <w:tcMar>
              <w:top w:type="dxa" w:w="100"/>
              <w:left w:type="dxa" w:w="120"/>
              <w:bottom w:type="dxa" w:w="100"/>
              <w:right w:type="dxa" w:w="120"/>
            </w:tcMar>
          </w:tcPr>
          <w:p>
            <w:r>
              <w:rPr>
                <w:b/>
                <w:bCs/>
                <w:color w:val="FFFFFF"/>
                <w:sz w:val="20"/>
                <w:szCs w:val="20"/>
              </w:rPr>
              <w:t xml:space="preserve">Qué hace</w:t>
            </w:r>
          </w:p>
        </w:tc>
      </w:tr>
      <w:tr>
        <w:tc>
          <w:tcPr>
            <w:tcW w:type="dxa" w:w="2200"/>
            <w:tcMar>
              <w:top w:type="dxa" w:w="100"/>
              <w:left w:type="dxa" w:w="120"/>
              <w:bottom w:type="dxa" w:w="100"/>
              <w:right w:type="dxa" w:w="120"/>
            </w:tcMar>
          </w:tcPr>
          <w:p>
            <w:r>
              <w:rPr>
                <w:b/>
                <w:bCs/>
                <w:color w:val="000000"/>
                <w:sz w:val="20"/>
                <w:szCs w:val="20"/>
              </w:rPr>
              <w:t xml:space="preserve">Home (/)</w:t>
            </w:r>
          </w:p>
        </w:tc>
        <w:tc>
          <w:tcPr>
            <w:tcW w:type="dxa" w:w="1900"/>
            <w:tcMar>
              <w:top w:type="dxa" w:w="100"/>
              <w:left w:type="dxa" w:w="120"/>
              <w:bottom w:type="dxa" w:w="100"/>
              <w:right w:type="dxa" w:w="120"/>
            </w:tcMar>
          </w:tcPr>
          <w:p>
            <w:r>
              <w:rPr>
                <w:b w:val="false"/>
                <w:bCs w:val="false"/>
                <w:color w:val="000000"/>
                <w:sz w:val="20"/>
                <w:szCs w:val="20"/>
              </w:rPr>
              <w:t xml:space="preserve">Atención + interés</w:t>
            </w:r>
          </w:p>
        </w:tc>
        <w:tc>
          <w:tcPr>
            <w:tcW w:type="dxa" w:w="5400"/>
            <w:tcMar>
              <w:top w:type="dxa" w:w="100"/>
              <w:left w:type="dxa" w:w="120"/>
              <w:bottom w:type="dxa" w:w="100"/>
              <w:right w:type="dxa" w:w="120"/>
            </w:tcMar>
          </w:tcPr>
          <w:p>
            <w:r>
              <w:rPr>
                <w:b w:val="false"/>
                <w:bCs w:val="false"/>
                <w:color w:val="000000"/>
                <w:sz w:val="20"/>
                <w:szCs w:val="20"/>
              </w:rPr>
              <w:t xml:space="preserve">Hero → problema → prueba/testimonios → filtro fit/no-fit → metodología (teaser) → precios (teaser) → diferencial → FAQ → CTA final → newsletter</w:t>
            </w:r>
          </w:p>
        </w:tc>
      </w:tr>
      <w:tr>
        <w:tc>
          <w:tcPr>
            <w:tcW w:type="dxa" w:w="2200"/>
            <w:tcMar>
              <w:top w:type="dxa" w:w="100"/>
              <w:left w:type="dxa" w:w="120"/>
              <w:bottom w:type="dxa" w:w="100"/>
              <w:right w:type="dxa" w:w="120"/>
            </w:tcMar>
          </w:tcPr>
          <w:p>
            <w:r>
              <w:rPr>
                <w:b/>
                <w:bCs/>
                <w:color w:val="000000"/>
                <w:sz w:val="20"/>
                <w:szCs w:val="20"/>
              </w:rPr>
              <w:t xml:space="preserve">Cómo trabajamos (/services)</w:t>
            </w:r>
          </w:p>
        </w:tc>
        <w:tc>
          <w:tcPr>
            <w:tcW w:type="dxa" w:w="1900"/>
            <w:tcMar>
              <w:top w:type="dxa" w:w="100"/>
              <w:left w:type="dxa" w:w="120"/>
              <w:bottom w:type="dxa" w:w="100"/>
              <w:right w:type="dxa" w:w="120"/>
            </w:tcMar>
          </w:tcPr>
          <w:p>
            <w:r>
              <w:rPr>
                <w:b w:val="false"/>
                <w:bCs w:val="false"/>
                <w:color w:val="000000"/>
                <w:sz w:val="20"/>
                <w:szCs w:val="20"/>
              </w:rPr>
              <w:t xml:space="preserve">Interés + decisión</w:t>
            </w:r>
          </w:p>
        </w:tc>
        <w:tc>
          <w:tcPr>
            <w:tcW w:type="dxa" w:w="5400"/>
            <w:tcMar>
              <w:top w:type="dxa" w:w="100"/>
              <w:left w:type="dxa" w:w="120"/>
              <w:bottom w:type="dxa" w:w="100"/>
              <w:right w:type="dxa" w:w="120"/>
            </w:tcMar>
          </w:tcPr>
          <w:p>
            <w:r>
              <w:rPr>
                <w:b w:val="false"/>
                <w:bCs w:val="false"/>
                <w:color w:val="000000"/>
                <w:sz w:val="20"/>
                <w:szCs w:val="20"/>
              </w:rPr>
              <w:t xml:space="preserve">Hero → prueba/testimonios (duplicado) → diferencial (duplicado) → metodología completa → filtro (duplicado) → 5 paquetes por etapa → modelo de precios (duplicado) → FAQ operativo → CTA</w:t>
            </w:r>
          </w:p>
        </w:tc>
      </w:tr>
      <w:tr>
        <w:tc>
          <w:tcPr>
            <w:tcW w:type="dxa" w:w="2200"/>
            <w:tcMar>
              <w:top w:type="dxa" w:w="100"/>
              <w:left w:type="dxa" w:w="120"/>
              <w:bottom w:type="dxa" w:w="100"/>
              <w:right w:type="dxa" w:w="120"/>
            </w:tcMar>
          </w:tcPr>
          <w:p>
            <w:r>
              <w:rPr>
                <w:b/>
                <w:bCs/>
                <w:color w:val="000000"/>
                <w:sz w:val="20"/>
                <w:szCs w:val="20"/>
              </w:rPr>
              <w:t xml:space="preserve">Sobre RiBuzz (/about)</w:t>
            </w:r>
          </w:p>
        </w:tc>
        <w:tc>
          <w:tcPr>
            <w:tcW w:type="dxa" w:w="1900"/>
            <w:tcMar>
              <w:top w:type="dxa" w:w="100"/>
              <w:left w:type="dxa" w:w="120"/>
              <w:bottom w:type="dxa" w:w="100"/>
              <w:right w:type="dxa" w:w="120"/>
            </w:tcMar>
          </w:tcPr>
          <w:p>
            <w:r>
              <w:rPr>
                <w:b w:val="false"/>
                <w:bCs w:val="false"/>
                <w:color w:val="000000"/>
                <w:sz w:val="20"/>
                <w:szCs w:val="20"/>
              </w:rPr>
              <w:t xml:space="preserve">Confianza / marca</w:t>
            </w:r>
          </w:p>
        </w:tc>
        <w:tc>
          <w:tcPr>
            <w:tcW w:type="dxa" w:w="5400"/>
            <w:tcMar>
              <w:top w:type="dxa" w:w="100"/>
              <w:left w:type="dxa" w:w="120"/>
              <w:bottom w:type="dxa" w:w="100"/>
              <w:right w:type="dxa" w:w="120"/>
            </w:tcMar>
          </w:tcPr>
          <w:p>
            <w:r>
              <w:rPr>
                <w:b w:val="false"/>
                <w:bCs w:val="false"/>
                <w:color w:val="000000"/>
                <w:sz w:val="20"/>
                <w:szCs w:val="20"/>
              </w:rPr>
              <w:t xml:space="preserve">Origen, visión, principios, postura → CTA</w:t>
            </w:r>
          </w:p>
        </w:tc>
      </w:tr>
      <w:tr>
        <w:tc>
          <w:tcPr>
            <w:tcW w:type="dxa" w:w="2200"/>
            <w:tcMar>
              <w:top w:type="dxa" w:w="100"/>
              <w:left w:type="dxa" w:w="120"/>
              <w:bottom w:type="dxa" w:w="100"/>
              <w:right w:type="dxa" w:w="120"/>
            </w:tcMar>
          </w:tcPr>
          <w:p>
            <w:r>
              <w:rPr>
                <w:b/>
                <w:bCs/>
                <w:color w:val="000000"/>
                <w:sz w:val="20"/>
                <w:szCs w:val="20"/>
              </w:rPr>
              <w:t xml:space="preserve">Diagnóstico (/diagnostico)</w:t>
            </w:r>
          </w:p>
        </w:tc>
        <w:tc>
          <w:tcPr>
            <w:tcW w:type="dxa" w:w="1900"/>
            <w:tcMar>
              <w:top w:type="dxa" w:w="100"/>
              <w:left w:type="dxa" w:w="120"/>
              <w:bottom w:type="dxa" w:w="100"/>
              <w:right w:type="dxa" w:w="120"/>
            </w:tcMar>
          </w:tcPr>
          <w:p>
            <w:r>
              <w:rPr>
                <w:b w:val="false"/>
                <w:bCs w:val="false"/>
                <w:color w:val="000000"/>
                <w:sz w:val="20"/>
                <w:szCs w:val="20"/>
              </w:rPr>
              <w:t xml:space="preserve">Conversión / calificación</w:t>
            </w:r>
          </w:p>
        </w:tc>
        <w:tc>
          <w:tcPr>
            <w:tcW w:type="dxa" w:w="5400"/>
            <w:tcMar>
              <w:top w:type="dxa" w:w="100"/>
              <w:left w:type="dxa" w:w="120"/>
              <w:bottom w:type="dxa" w:w="100"/>
              <w:right w:type="dxa" w:w="120"/>
            </w:tcMar>
          </w:tcPr>
          <w:p>
            <w:r>
              <w:rPr>
                <w:b w:val="false"/>
                <w:bCs w:val="false"/>
                <w:color w:val="000000"/>
                <w:sz w:val="20"/>
                <w:szCs w:val="20"/>
              </w:rPr>
              <w:t xml:space="preserve">Wizard de 3 pasos (15 campos) + Turnstile → scoring/ruteo automático → cal.com embebido, recursos gratuitos o newsletter según resultado</w:t>
            </w:r>
          </w:p>
        </w:tc>
      </w:tr>
      <w:tr>
        <w:tc>
          <w:tcPr>
            <w:tcW w:type="dxa" w:w="2200"/>
            <w:tcMar>
              <w:top w:type="dxa" w:w="100"/>
              <w:left w:type="dxa" w:w="120"/>
              <w:bottom w:type="dxa" w:w="100"/>
              <w:right w:type="dxa" w:w="120"/>
            </w:tcMar>
          </w:tcPr>
          <w:p>
            <w:r>
              <w:rPr>
                <w:b/>
                <w:bCs/>
                <w:color w:val="000000"/>
                <w:sz w:val="20"/>
                <w:szCs w:val="20"/>
              </w:rPr>
              <w:t xml:space="preserve">Contacto (/contacto)</w:t>
            </w:r>
          </w:p>
        </w:tc>
        <w:tc>
          <w:tcPr>
            <w:tcW w:type="dxa" w:w="1900"/>
            <w:tcMar>
              <w:top w:type="dxa" w:w="100"/>
              <w:left w:type="dxa" w:w="120"/>
              <w:bottom w:type="dxa" w:w="100"/>
              <w:right w:type="dxa" w:w="120"/>
            </w:tcMar>
          </w:tcPr>
          <w:p>
            <w:r>
              <w:rPr>
                <w:b w:val="false"/>
                <w:bCs w:val="false"/>
                <w:color w:val="000000"/>
                <w:sz w:val="20"/>
                <w:szCs w:val="20"/>
              </w:rPr>
              <w:t xml:space="preserve">Hub alterno</w:t>
            </w:r>
          </w:p>
        </w:tc>
        <w:tc>
          <w:tcPr>
            <w:tcW w:type="dxa" w:w="5400"/>
            <w:tcMar>
              <w:top w:type="dxa" w:w="100"/>
              <w:left w:type="dxa" w:w="120"/>
              <w:bottom w:type="dxa" w:w="100"/>
              <w:right w:type="dxa" w:w="120"/>
            </w:tcMar>
          </w:tcPr>
          <w:p>
            <w:r>
              <w:rPr>
                <w:b w:val="false"/>
                <w:bCs w:val="false"/>
                <w:color w:val="000000"/>
                <w:sz w:val="20"/>
                <w:szCs w:val="20"/>
              </w:rPr>
              <w:t xml:space="preserve">Tarjetas: Agenda tu llamada (wizard), Agenda reunión (cal.com directo), Crea tu landing, NFC, Neo-Mech, regalos, redes</w:t>
            </w:r>
          </w:p>
        </w:tc>
      </w:tr>
      <w:tr>
        <w:tc>
          <w:tcPr>
            <w:tcW w:type="dxa" w:w="2200"/>
            <w:tcMar>
              <w:top w:type="dxa" w:w="100"/>
              <w:left w:type="dxa" w:w="120"/>
              <w:bottom w:type="dxa" w:w="100"/>
              <w:right w:type="dxa" w:w="120"/>
            </w:tcMar>
          </w:tcPr>
          <w:p>
            <w:r>
              <w:rPr>
                <w:b/>
                <w:bCs/>
                <w:color w:val="000000"/>
                <w:sz w:val="20"/>
                <w:szCs w:val="20"/>
              </w:rPr>
              <w:t xml:space="preserve">Regalos (/regalos)</w:t>
            </w:r>
          </w:p>
        </w:tc>
        <w:tc>
          <w:tcPr>
            <w:tcW w:type="dxa" w:w="1900"/>
            <w:tcMar>
              <w:top w:type="dxa" w:w="100"/>
              <w:left w:type="dxa" w:w="120"/>
              <w:bottom w:type="dxa" w:w="100"/>
              <w:right w:type="dxa" w:w="120"/>
            </w:tcMar>
          </w:tcPr>
          <w:p>
            <w:r>
              <w:rPr>
                <w:b w:val="false"/>
                <w:bCs w:val="false"/>
                <w:color w:val="000000"/>
                <w:sz w:val="20"/>
                <w:szCs w:val="20"/>
              </w:rPr>
              <w:t xml:space="preserve">Lead magnet</w:t>
            </w:r>
          </w:p>
        </w:tc>
        <w:tc>
          <w:tcPr>
            <w:tcW w:type="dxa" w:w="5400"/>
            <w:tcMar>
              <w:top w:type="dxa" w:w="100"/>
              <w:left w:type="dxa" w:w="120"/>
              <w:bottom w:type="dxa" w:w="100"/>
              <w:right w:type="dxa" w:w="120"/>
            </w:tcMar>
          </w:tcPr>
          <w:p>
            <w:r>
              <w:rPr>
                <w:b w:val="false"/>
                <w:bCs w:val="false"/>
                <w:color w:val="000000"/>
                <w:sz w:val="20"/>
                <w:szCs w:val="20"/>
              </w:rPr>
              <w:t xml:space="preserve">Caja desbloqueable con 2 PDFs → CTA directo a WhatsApp</w:t>
            </w:r>
          </w:p>
        </w:tc>
      </w:tr>
      <w:tr>
        <w:tc>
          <w:tcPr>
            <w:tcW w:type="dxa" w:w="2200"/>
            <w:tcMar>
              <w:top w:type="dxa" w:w="100"/>
              <w:left w:type="dxa" w:w="120"/>
              <w:bottom w:type="dxa" w:w="100"/>
              <w:right w:type="dxa" w:w="120"/>
            </w:tcMar>
          </w:tcPr>
          <w:p>
            <w:r>
              <w:rPr>
                <w:b/>
                <w:bCs/>
                <w:color w:val="000000"/>
                <w:sz w:val="20"/>
                <w:szCs w:val="20"/>
              </w:rPr>
              <w:t xml:space="preserve">Portafolio (/portafolio)</w:t>
            </w:r>
          </w:p>
        </w:tc>
        <w:tc>
          <w:tcPr>
            <w:tcW w:type="dxa" w:w="1900"/>
            <w:tcMar>
              <w:top w:type="dxa" w:w="100"/>
              <w:left w:type="dxa" w:w="120"/>
              <w:bottom w:type="dxa" w:w="100"/>
              <w:right w:type="dxa" w:w="120"/>
            </w:tcMar>
          </w:tcPr>
          <w:p>
            <w:r>
              <w:rPr>
                <w:b w:val="false"/>
                <w:bCs w:val="false"/>
                <w:color w:val="000000"/>
                <w:sz w:val="20"/>
                <w:szCs w:val="20"/>
              </w:rPr>
              <w:t xml:space="preserve">Pitch deck</w:t>
            </w:r>
          </w:p>
        </w:tc>
        <w:tc>
          <w:tcPr>
            <w:tcW w:type="dxa" w:w="5400"/>
            <w:tcMar>
              <w:top w:type="dxa" w:w="100"/>
              <w:left w:type="dxa" w:w="120"/>
              <w:bottom w:type="dxa" w:w="100"/>
              <w:right w:type="dxa" w:w="120"/>
            </w:tcMar>
          </w:tcPr>
          <w:p>
            <w:r>
              <w:rPr>
                <w:b w:val="false"/>
                <w:bCs w:val="false"/>
                <w:color w:val="000000"/>
                <w:sz w:val="20"/>
                <w:szCs w:val="20"/>
              </w:rPr>
              <w:t xml:space="preserve">14 slides orientadas a inversionista/aliado, con CTAs de cliente</w:t>
            </w:r>
          </w:p>
        </w:tc>
      </w:tr>
      <w:tr>
        <w:tc>
          <w:tcPr>
            <w:tcW w:type="dxa" w:w="2200"/>
            <w:tcMar>
              <w:top w:type="dxa" w:w="100"/>
              <w:left w:type="dxa" w:w="120"/>
              <w:bottom w:type="dxa" w:w="100"/>
              <w:right w:type="dxa" w:w="120"/>
            </w:tcMar>
          </w:tcPr>
          <w:p>
            <w:r>
              <w:rPr>
                <w:b/>
                <w:bCs/>
                <w:color w:val="000000"/>
                <w:sz w:val="20"/>
                <w:szCs w:val="20"/>
              </w:rPr>
              <w:t xml:space="preserve">Todas las páginas</w:t>
            </w:r>
          </w:p>
        </w:tc>
        <w:tc>
          <w:tcPr>
            <w:tcW w:type="dxa" w:w="1900"/>
            <w:tcMar>
              <w:top w:type="dxa" w:w="100"/>
              <w:left w:type="dxa" w:w="120"/>
              <w:bottom w:type="dxa" w:w="100"/>
              <w:right w:type="dxa" w:w="120"/>
            </w:tcMar>
          </w:tcPr>
          <w:p>
            <w:r>
              <w:rPr>
                <w:b w:val="false"/>
                <w:bCs w:val="false"/>
                <w:color w:val="000000"/>
                <w:sz w:val="20"/>
                <w:szCs w:val="20"/>
              </w:rPr>
              <w:t xml:space="preserve">Overlay persistente</w:t>
            </w:r>
          </w:p>
        </w:tc>
        <w:tc>
          <w:tcPr>
            <w:tcW w:type="dxa" w:w="5400"/>
            <w:tcMar>
              <w:top w:type="dxa" w:w="100"/>
              <w:left w:type="dxa" w:w="120"/>
              <w:bottom w:type="dxa" w:w="100"/>
              <w:right w:type="dxa" w:w="120"/>
            </w:tcMar>
          </w:tcPr>
          <w:p>
            <w:r>
              <w:rPr>
                <w:b w:val="false"/>
                <w:bCs w:val="false"/>
                <w:color w:val="000000"/>
                <w:sz w:val="20"/>
                <w:szCs w:val="20"/>
              </w:rPr>
              <w:t xml:space="preserve">Botón flotante de WhatsApp</w:t>
            </w:r>
          </w:p>
        </w:tc>
      </w:tr>
    </w:tbl>
    <w:p>
      <w:pPr>
        <w:spacing w:after="100" w:before="240"/>
      </w:pPr>
      <w:r>
        <w:rPr>
          <w:b/>
          <w:bCs/>
        </w:rPr>
        <w:t xml:space="preserve">Qué ya funciona bien</w:t>
      </w:r>
    </w:p>
    <w:p>
      <w:pPr>
        <w:pStyle w:val="ListParagraph"/>
        <w:numPr>
          <w:ilvl w:val="0"/>
          <w:numId w:val="1"/>
        </w:numPr>
        <w:spacing w:after="90"/>
      </w:pPr>
      <w:r>
        <w:t xml:space="preserve">La secuencia de Home y Services sigue un orden de copywriting intencional y documentado en el propio código (comentarios como "Atención", "Confianza: prueba antes de pedir nada", "Filtro", "Decisión").</w:t>
      </w:r>
    </w:p>
    <w:p>
      <w:pPr>
        <w:pStyle w:val="ListParagraph"/>
        <w:numPr>
          <w:ilvl w:val="0"/>
          <w:numId w:val="1"/>
        </w:numPr>
        <w:spacing w:after="90"/>
      </w:pPr>
      <w:r>
        <w:t xml:space="preserve">El bloque "para quién es esto, y para quién no" es una práctica poco común y refuerza posicionamiento — la ejecución es buena, el contenido tiene un problema puntual (ver hallazgo 1).</w:t>
      </w:r>
    </w:p>
    <w:p>
      <w:pPr>
        <w:pStyle w:val="ListParagraph"/>
        <w:numPr>
          <w:ilvl w:val="0"/>
          <w:numId w:val="1"/>
        </w:numPr>
        <w:spacing w:after="90"/>
      </w:pPr>
      <w:r>
        <w:t xml:space="preserve">El modelo de 5 paquetes por etapa (Fundamentos → Expansión) evita cotizaciones ad-hoc y da claridad de a quién sirve cada nivel.</w:t>
      </w:r>
    </w:p>
    <w:p>
      <w:pPr>
        <w:pStyle w:val="ListParagraph"/>
        <w:numPr>
          <w:ilvl w:val="0"/>
          <w:numId w:val="1"/>
        </w:numPr>
        <w:spacing w:after="90"/>
      </w:pPr>
      <w:r>
        <w:t xml:space="preserve">El wizard de /diagnostico con fitScore y routingTier es una pieza de automatización comercial real, poco frecuente en un sitio de esta escala.</w:t>
      </w:r>
    </w:p>
    <w:p>
      <w:pPr>
        <w:pStyle w:val="ListParagraph"/>
        <w:numPr>
          <w:ilvl w:val="0"/>
          <w:numId w:val="1"/>
        </w:numPr>
        <w:spacing w:after="90"/>
      </w:pPr>
      <w:r>
        <w:t xml:space="preserve">Las FAQ (tres sets distintos) cubren objeciones legítimas: fees por hitos, ROI, exclusividad, qué pasa si no hay fit.</w:t>
      </w:r>
    </w:p>
    <w:p>
      <w:pPr>
        <w:pStyle w:val="Heading1"/>
        <w:spacing w:after="200" w:before="400"/>
      </w:pPr>
      <w:r>
        <w:rPr>
          <w:b/>
          <w:bCs/>
          <w:color w:val="6939E2"/>
        </w:rPr>
        <w:t xml:space="preserve">2. Problema raíz</w:t>
      </w:r>
    </w:p>
    <w:p>
      <w:pPr>
        <w:spacing w:after="160"/>
      </w:pPr>
      <w:r>
        <w:t xml:space="preserve">Los ocho hallazgos siguen el mismo criterio: no son errores de redacción aislados, son consecuencias de una decisión de fondo sin resolver o de una pieza de contenido que quedó desincronizada con otra.</w:t>
      </w:r>
    </w:p>
    <w:p>
      <w:pPr>
        <w:spacing w:after="80" w:before="260"/>
      </w:pPr>
      <w:r>
        <w:rPr>
          <w:b/>
          <w:bCs/>
          <w:sz w:val="24"/>
          <w:szCs w:val="24"/>
        </w:rPr>
        <w:t xml:space="preserve">1. Definición de ICP contradictoria dentro del propio embudo</w:t>
      </w:r>
    </w:p>
    <w:p>
      <w:pPr>
        <w:spacing w:after="60"/>
        <w:ind w:left="360"/>
      </w:pPr>
      <w:r>
        <w:rPr>
          <w:b/>
          <w:bCs/>
          <w:i/>
          <w:iCs/>
          <w:color w:val="5A6072"/>
          <w:sz w:val="20"/>
          <w:szCs w:val="20"/>
        </w:rPr>
        <w:t xml:space="preserve">Evidencia: </w:t>
      </w:r>
      <w:r>
        <w:rPr>
          <w:i/>
          <w:iCs/>
          <w:color w:val="5A6072"/>
          <w:sz w:val="20"/>
          <w:szCs w:val="20"/>
        </w:rPr>
        <w:t xml:space="preserve">El bloque "para quién no es esto" (nonFitChecklist) excluye explícitamente: "Negocios qué aún no validan su oferta o todavía no tienen base comercial mínima". Pero dos de los cinco paquetes pagos (Fundamentos, etapa Ideación, y Validación, etapa Pre-Incubación) están diseñados exactamente para ese momento — "tu oferta todavía no está validada", "tu MVP está en construcción o recién lanzado". La contradicción se aclara correctamente en el FAQ ("¿Esto funciona si apenas estoy empezando? Sí..."), pero el filtro aparece antes en la página, tanto en Home como en Services, justo antes del bloque de precios.</w:t>
      </w:r>
    </w:p>
    <w:p>
      <w:pPr>
        <w:spacing w:after="220"/>
        <w:ind w:left="360"/>
      </w:pPr>
      <w:r>
        <w:rPr>
          <w:b/>
          <w:bCs/>
          <w:sz w:val="20"/>
          <w:szCs w:val="20"/>
        </w:rPr>
        <w:t xml:space="preserve">Por qué importa: </w:t>
      </w:r>
      <w:r>
        <w:rPr>
          <w:sz w:val="20"/>
          <w:szCs w:val="20"/>
        </w:rPr>
        <w:t xml:space="preserve">Un fundador en etapa temprana que lee de arriba hacia abajo se autoexcluye en el filtro y nunca llega a la sección de precios ni al FAQ donde se resuelve el malentendido. El propio filtro de calificación está descalificando a un segmento que sí tiene un paquete pagado.</w:t>
      </w:r>
    </w:p>
    <w:p>
      <w:pPr>
        <w:spacing w:after="80" w:before="260"/>
      </w:pPr>
      <w:r>
        <w:rPr>
          <w:b/>
          <w:bCs/>
          <w:sz w:val="24"/>
          <w:szCs w:val="24"/>
        </w:rPr>
        <w:t xml:space="preserve">2. El sistema de calificación (fit-score) tiene puertas laterales que lo evitan por completo</w:t>
      </w:r>
    </w:p>
    <w:p>
      <w:pPr>
        <w:spacing w:after="60"/>
        <w:ind w:left="360"/>
      </w:pPr>
      <w:r>
        <w:rPr>
          <w:b/>
          <w:bCs/>
          <w:i/>
          <w:iCs/>
          <w:color w:val="5A6072"/>
          <w:sz w:val="20"/>
          <w:szCs w:val="20"/>
        </w:rPr>
        <w:t xml:space="preserve">Evidencia: </w:t>
      </w:r>
      <w:r>
        <w:rPr>
          <w:i/>
          <w:iCs/>
          <w:color w:val="5A6072"/>
          <w:sz w:val="20"/>
          <w:szCs w:val="20"/>
        </w:rPr>
        <w:t xml:space="preserve">/contacto ofrece "Agenda reunión" enlazado directo al link de cal.com, en paralelo a "Agenda tu llamada" que sí pasa por el wizard de /diagnostico. El botón flotante de WhatsApp está presente en todas las páginas del sitio, y /regalos termina con un CTA directo a WhatsApp ("revisar tu caso"), no al wizard.</w:t>
      </w:r>
    </w:p>
    <w:p>
      <w:pPr>
        <w:spacing w:after="220"/>
        <w:ind w:left="360"/>
      </w:pPr>
      <w:r>
        <w:rPr>
          <w:b/>
          <w:bCs/>
          <w:sz w:val="20"/>
          <w:szCs w:val="20"/>
        </w:rPr>
        <w:t xml:space="preserve">Por qué importa: </w:t>
      </w:r>
      <w:r>
        <w:rPr>
          <w:sz w:val="20"/>
          <w:szCs w:val="20"/>
        </w:rPr>
        <w:t xml:space="preserve">Se invirtió trabajo real en construir scoring y ruteo automático para separar leads en "llamada", "regalos" o "newsletter" — pero el sitio ofrece al menos tres rutas paralelas para saltarse ese sistema. Cualquier prospecto que prefiera la ruta de menor fricción nunca pasa por la calificación, y el sistema construido no puede protegerlo del foco que la propia marca dice priorizar ("Todo parte del diagnóstico").</w:t>
      </w:r>
    </w:p>
    <w:p>
      <w:pPr>
        <w:spacing w:after="80" w:before="260"/>
      </w:pPr>
      <w:r>
        <w:rPr>
          <w:b/>
          <w:bCs/>
          <w:sz w:val="24"/>
          <w:szCs w:val="24"/>
        </w:rPr>
        <w:t xml:space="preserve">3. La promesa de "menos de 3 minutos" no coincide con el formulario real</w:t>
      </w:r>
    </w:p>
    <w:p>
      <w:pPr>
        <w:spacing w:after="60"/>
        <w:ind w:left="360"/>
      </w:pPr>
      <w:r>
        <w:rPr>
          <w:b/>
          <w:bCs/>
          <w:i/>
          <w:iCs/>
          <w:color w:val="5A6072"/>
          <w:sz w:val="20"/>
          <w:szCs w:val="20"/>
        </w:rPr>
        <w:t xml:space="preserve">Evidencia: </w:t>
      </w:r>
      <w:r>
        <w:rPr>
          <w:i/>
          <w:iCs/>
          <w:color w:val="5A6072"/>
          <w:sz w:val="20"/>
          <w:szCs w:val="20"/>
        </w:rPr>
        <w:t xml:space="preserve">El copy de soporte de /diagnostico y el FAQ de Home prometen un formulario corto de "menos de 3 minutos". El wizard real tiene 15 campos en 3 pasos, 11 obligatorios, incluyendo dos campos de texto abierto que piden reflexión (qué frena el negocio, a quién le vende). Ya se diagnosticó en este mismo proyecto que el token de verificación anti-spam expiraba en producción por el tiempo que toma completar el formulario — evidencia directa de que la promesa no se cumple en la práctica.</w:t>
      </w:r>
    </w:p>
    <w:p>
      <w:pPr>
        <w:spacing w:after="220"/>
        <w:ind w:left="360"/>
      </w:pPr>
      <w:r>
        <w:rPr>
          <w:b/>
          <w:bCs/>
          <w:sz w:val="20"/>
          <w:szCs w:val="20"/>
        </w:rPr>
        <w:t xml:space="preserve">Por qué importa: </w:t>
      </w:r>
      <w:r>
        <w:rPr>
          <w:sz w:val="20"/>
          <w:szCs w:val="20"/>
        </w:rPr>
        <w:t xml:space="preserve">La fricción en sí no es el problema — la calificación estricta es coherente con el posicionamiento "Exigente". El problema es la expectativa mal calibrada: genera sensación de incumplimiento justo en el paso de conversión más importante del sitio.</w:t>
      </w:r>
    </w:p>
    <w:p>
      <w:pPr>
        <w:spacing w:after="80" w:before="260"/>
      </w:pPr>
      <w:r>
        <w:rPr>
          <w:b/>
          <w:bCs/>
          <w:sz w:val="24"/>
          <w:szCs w:val="24"/>
        </w:rPr>
        <w:t xml:space="preserve">4. Home y Cómo trabajamos repiten bloques de copy palabra por palabra</w:t>
      </w:r>
    </w:p>
    <w:p>
      <w:pPr>
        <w:spacing w:after="60"/>
        <w:ind w:left="360"/>
      </w:pPr>
      <w:r>
        <w:rPr>
          <w:b/>
          <w:bCs/>
          <w:i/>
          <w:iCs/>
          <w:color w:val="5A6072"/>
          <w:sz w:val="20"/>
          <w:szCs w:val="20"/>
        </w:rPr>
        <w:t xml:space="preserve">Evidencia: </w:t>
      </w:r>
      <w:r>
        <w:rPr>
          <w:i/>
          <w:iCs/>
          <w:color w:val="5A6072"/>
          <w:sz w:val="20"/>
          <w:szCs w:val="20"/>
        </w:rPr>
        <w:t xml:space="preserve">Los bloques "Prueba, no promesas" (trustSignals + testimonios), "Diferencial" (differentiators) y "Para quién es esto, y para quién no" (fitChecklist) tienen el mismo eyebrow, el mismo título, la misma descripción y el mismo contenido en Home y en Services. El bloque de "Modelo de inversión" repite título y descripción idénticos en ambas páginas.</w:t>
      </w:r>
    </w:p>
    <w:p>
      <w:pPr>
        <w:spacing w:after="220"/>
        <w:ind w:left="360"/>
      </w:pPr>
      <w:r>
        <w:rPr>
          <w:b/>
          <w:bCs/>
          <w:sz w:val="20"/>
          <w:szCs w:val="20"/>
        </w:rPr>
        <w:t xml:space="preserve">Por qué importa: </w:t>
      </w:r>
      <w:r>
        <w:rPr>
          <w:sz w:val="20"/>
          <w:szCs w:val="20"/>
        </w:rPr>
        <w:t xml:space="preserve">Home es la etapa de atención/interés; Services debería ser la etapa de profundización. Si el visitante lee exactamente lo mismo en ambas páginas, no hay incentivo para hacer clic en "Ver cómo trabajamos", y se pierden las señales de intención de compra que da navegar más páginas dentro del sitio.</w:t>
      </w:r>
    </w:p>
    <w:p>
      <w:pPr>
        <w:spacing w:after="80" w:before="260"/>
      </w:pPr>
      <w:r>
        <w:rPr>
          <w:b/>
          <w:bCs/>
          <w:sz w:val="24"/>
          <w:szCs w:val="24"/>
        </w:rPr>
        <w:t xml:space="preserve">5. Prueba social débil frente a la ambición del mensaje</w:t>
      </w:r>
    </w:p>
    <w:p>
      <w:pPr>
        <w:spacing w:after="60"/>
        <w:ind w:left="360"/>
      </w:pPr>
      <w:r>
        <w:rPr>
          <w:b/>
          <w:bCs/>
          <w:i/>
          <w:iCs/>
          <w:color w:val="5A6072"/>
          <w:sz w:val="20"/>
          <w:szCs w:val="20"/>
        </w:rPr>
        <w:t xml:space="preserve">Evidencia: </w:t>
      </w:r>
      <w:r>
        <w:rPr>
          <w:i/>
          <w:iCs/>
          <w:color w:val="5A6072"/>
          <w:sz w:val="20"/>
          <w:szCs w:val="20"/>
        </w:rPr>
        <w:t xml:space="preserve">trustSignals declara "4 clientes cerrados confirmados"; el carrusel de testimonios tiene solo 3 casos, con nombre de empresa y rol genérico ("Empresa B2B en Medellín"), sin logo, sin foto ni apellido de contacto, y solo uno con una cifra concreta ("50% en dos meses", sin especificar de qué). En paralelo, el resto del copy usa tono de sistema consolidado: 5 paquetes, "cupos limitados por trimestre", postura "Exigente".</w:t>
      </w:r>
    </w:p>
    <w:p>
      <w:pPr>
        <w:spacing w:after="220"/>
        <w:ind w:left="360"/>
      </w:pPr>
      <w:r>
        <w:rPr>
          <w:b/>
          <w:bCs/>
          <w:sz w:val="20"/>
          <w:szCs w:val="20"/>
        </w:rPr>
        <w:t xml:space="preserve">Por qué importa: </w:t>
      </w:r>
      <w:r>
        <w:rPr>
          <w:sz w:val="20"/>
          <w:szCs w:val="20"/>
        </w:rPr>
        <w:t xml:space="preserve">El ICP descrito (empresas que ya venden, exigentes, buscan estructura y no humo) es precisamente el comprador más propenso a notar la brecha entre la ambición del mensaje y la evidencia disponible. El paquete Fundamentos ya usa el tono honesto correcto ("tarifa de lanzamiento... cupos limitados mientras validamos el sistema con los primeros clientes") — esa misma honestidad no se extiende a la sección de confianza, que suena más establecida de lo que los datos soportan.</w:t>
      </w:r>
    </w:p>
    <w:p>
      <w:pPr>
        <w:spacing w:after="80" w:before="260"/>
      </w:pPr>
      <w:r>
        <w:rPr>
          <w:b/>
          <w:bCs/>
          <w:sz w:val="24"/>
          <w:szCs w:val="24"/>
        </w:rPr>
        <w:t xml:space="preserve">6. Erratas en piezas de marca que reclaman una postura "profesional y exigente"</w:t>
      </w:r>
    </w:p>
    <w:p>
      <w:pPr>
        <w:spacing w:after="60"/>
        <w:ind w:left="360"/>
      </w:pPr>
      <w:r>
        <w:rPr>
          <w:b/>
          <w:bCs/>
          <w:i/>
          <w:iCs/>
          <w:color w:val="5A6072"/>
          <w:sz w:val="20"/>
          <w:szCs w:val="20"/>
        </w:rPr>
        <w:t xml:space="preserve">Evidencia: </w:t>
      </w:r>
      <w:r>
        <w:rPr>
          <w:i/>
          <w:iCs/>
          <w:color w:val="5A6072"/>
          <w:sz w:val="20"/>
          <w:szCs w:val="20"/>
        </w:rPr>
        <w:t xml:space="preserve">corePrinciples: "estructura and no solo en intensidad" (palabra en inglés suelta en medio de una frase en español). nonFitChecklist y fitChecklist: "Negocios qué aún no validan...", "empresas que entienden qué el problema..." (qué en vez de que). methodologyBenefits: "improvisacion" sin tilde.</w:t>
      </w:r>
    </w:p>
    <w:p>
      <w:pPr>
        <w:spacing w:after="220"/>
        <w:ind w:left="360"/>
      </w:pPr>
      <w:r>
        <w:rPr>
          <w:b/>
          <w:bCs/>
          <w:sz w:val="20"/>
          <w:szCs w:val="20"/>
        </w:rPr>
        <w:t xml:space="preserve">Por qué importa: </w:t>
      </w:r>
      <w:r>
        <w:rPr>
          <w:sz w:val="20"/>
          <w:szCs w:val="20"/>
        </w:rPr>
        <w:t xml:space="preserve">Son detalles menores en aislado, pero aparecen exactamente en las secciones que reclaman una postura "profesional, directa, exigente" — el descuido contradice el mensaje que lo rodea.</w:t>
      </w:r>
    </w:p>
    <w:p>
      <w:pPr>
        <w:spacing w:after="80" w:before="260"/>
      </w:pPr>
      <w:r>
        <w:rPr>
          <w:b/>
          <w:bCs/>
          <w:sz w:val="24"/>
          <w:szCs w:val="24"/>
        </w:rPr>
        <w:t xml:space="preserve">7. /portafolio mezcla audiencia de inversionista con audiencia de cliente</w:t>
      </w:r>
    </w:p>
    <w:p>
      <w:pPr>
        <w:spacing w:after="60"/>
        <w:ind w:left="360"/>
      </w:pPr>
      <w:r>
        <w:rPr>
          <w:b/>
          <w:bCs/>
          <w:i/>
          <w:iCs/>
          <w:color w:val="5A6072"/>
          <w:sz w:val="20"/>
          <w:szCs w:val="20"/>
        </w:rPr>
        <w:t xml:space="preserve">Evidencia: </w:t>
      </w:r>
      <w:r>
        <w:rPr>
          <w:i/>
          <w:iCs/>
          <w:color w:val="5A6072"/>
          <w:sz w:val="20"/>
          <w:szCs w:val="20"/>
        </w:rPr>
        <w:t xml:space="preserve">La página está armada como pitch deck de fundraising (slide final "Buscamos" con ask items, estadísticas de mercado) pero sus CTAs son de cliente: "Solicitar diagnóstico", "Hablar con RiBuzz" — no hay un CTA de inversionista o aliado. La matriz interna, además, confirma que RiBuzz "opera como persona natural" y que la "entidad corporativa" está "pendiente de validar".</w:t>
      </w:r>
    </w:p>
    <w:p>
      <w:pPr>
        <w:spacing w:after="220"/>
        <w:ind w:left="360"/>
      </w:pPr>
      <w:r>
        <w:rPr>
          <w:b/>
          <w:bCs/>
          <w:sz w:val="20"/>
          <w:szCs w:val="20"/>
        </w:rPr>
        <w:t xml:space="preserve">Por qué importa: </w:t>
      </w:r>
      <w:r>
        <w:rPr>
          <w:sz w:val="20"/>
          <w:szCs w:val="20"/>
        </w:rPr>
        <w:t xml:space="preserve">No es urgente porque la página no está en la navegación principal, pero si se comparte con un cliente potencial lo confronta con lenguaje de fundraising que no le corresponde, y viceversa con un inversionista — y hacerlo antes de resolver la forma societaria puede generar preguntas que RiBuzz todavía no está lista para responder.</w:t>
      </w:r>
    </w:p>
    <w:p>
      <w:pPr>
        <w:spacing w:after="80" w:before="260"/>
      </w:pPr>
      <w:r>
        <w:rPr>
          <w:b/>
          <w:bCs/>
          <w:sz w:val="24"/>
          <w:szCs w:val="24"/>
        </w:rPr>
        <w:t xml:space="preserve">8. El sitio presenta como decidido lo que la matriz interna marca como pendiente de canonizar</w:t>
      </w:r>
    </w:p>
    <w:p>
      <w:pPr>
        <w:spacing w:after="60"/>
        <w:ind w:left="360"/>
      </w:pPr>
      <w:r>
        <w:rPr>
          <w:b/>
          <w:bCs/>
          <w:i/>
          <w:iCs/>
          <w:color w:val="5A6072"/>
          <w:sz w:val="20"/>
          <w:szCs w:val="20"/>
        </w:rPr>
        <w:t xml:space="preserve">Evidencia: </w:t>
      </w:r>
      <w:r>
        <w:rPr>
          <w:i/>
          <w:iCs/>
          <w:color w:val="5A6072"/>
          <w:sz w:val="20"/>
          <w:szCs w:val="20"/>
        </w:rPr>
        <w:t xml:space="preserve">El FAQ de /services (howWeWorkFaqs) describe el fee por cumplimiento de hitos como un mecanismo ya operando: "A partir de la etapa de Incubación, una parte del pago se ata a una métrica de negocio definida contigo antes de empezar." La Matriz IA General de RiBuzz (fecha de corte 18 de marzo de 2026), en cambio, lista "esquema variable por ventas o cumplimiento de hitos" bajo "vacío de validación" y dice literalmente en la sección de oferta actual: "esquema todavía no canonizado." Lo mismo ocurre con los nombres de los cinco paquetes (Fundamentos, Validación, Tracción, Sistema, Expansión): el sitio los presenta como oferta oficial, mientras la matriz dice "nombre oficial de la oferta: pendiente de definir."</w:t>
      </w:r>
    </w:p>
    <w:p>
      <w:pPr>
        <w:spacing w:after="220"/>
        <w:ind w:left="360"/>
      </w:pPr>
      <w:r>
        <w:rPr>
          <w:b/>
          <w:bCs/>
          <w:sz w:val="20"/>
          <w:szCs w:val="20"/>
        </w:rPr>
        <w:t xml:space="preserve">Por qué importa: </w:t>
      </w:r>
      <w:r>
        <w:rPr>
          <w:sz w:val="20"/>
          <w:szCs w:val="20"/>
        </w:rPr>
        <w:t xml:space="preserve">No es un problema de redacción, es un riesgo operativo real: un prospecto puede llegar a la llamada de introducción esperando un esquema de hitos ya definido que, según la propia fuente de verdad de RiBuzz, todavía no existe. Cuando el sitio y la matriz interna no dicen lo mismo, alguien tiene que decidir cuál manda.</w:t>
      </w:r>
    </w:p>
    <w:p>
      <w:pPr>
        <w:pStyle w:val="Heading1"/>
        <w:spacing w:after="200" w:before="400"/>
      </w:pPr>
      <w:r>
        <w:rPr>
          <w:b/>
          <w:bCs/>
          <w:color w:val="6939E2"/>
        </w:rPr>
        <w:t xml:space="preserve">3. Referentes de industria a replicar</w:t>
      </w:r>
    </w:p>
    <w:p>
      <w:pPr>
        <w:spacing w:after="160"/>
      </w:pPr>
      <w:r>
        <w:t xml:space="preserve">Tres referentes externos, verificados directamente en sus sitios en julio de 2026, dan forma concreta a las recomendaciones de este documento: 30X Business School (educación ejecutiva para founders en Latinoamérica), Growth Rockstar (academia/agencia de growth con alcance en toda LatAm, incluida Colombia) y EOS Worldwide (sistema operativo para pymes, referente global con un embudo de calificación excepcionalmente bien segmentado y una metodología casi idéntica en forma a la de RiBuzz: diagnosticar → estructurar → ejecutar → acompañar). La sección 4 filtra estas tácticas contra la identidad y el modelo de negocio reales de RiBuzz.</w:t>
      </w:r>
    </w:p>
    <w:p>
      <w:pPr>
        <w:pStyle w:val="Heading2"/>
        <w:spacing w:after="120" w:before="260"/>
      </w:pPr>
      <w:r>
        <w:rPr>
          <w:b/>
          <w:bCs/>
          <w:color w:val="1A1A2E"/>
        </w:rPr>
        <w:t xml:space="preserve">30X Business School — qué aplicar</w:t>
      </w:r>
    </w:p>
    <w:p>
      <w:pPr>
        <w:pStyle w:val="ListParagraph"/>
        <w:numPr>
          <w:ilvl w:val="0"/>
          <w:numId w:val="1"/>
        </w:numPr>
        <w:spacing w:after="100"/>
      </w:pPr>
      <w:r>
        <w:rPr>
          <w:b/>
          <w:bCs/>
          <w:color w:val="6939E2"/>
        </w:rPr>
        <w:t xml:space="preserve">Testimonios con nombre real, cargo y LinkedIn, no empresa anónima. </w:t>
      </w:r>
      <w:r>
        <w:t xml:space="preserve">30X no dice "empresa B2B" — dice "Andrés Bilbao, Rappi Co-Founder" con link directo a su LinkedIn, verificable con un clic. Ataca el hallazgo 5: con 4 clientes, mejor 2-3 nombres reales y verificables que una cifra sin rostro.</w:t>
      </w:r>
    </w:p>
    <w:p>
      <w:pPr>
        <w:pStyle w:val="ListParagraph"/>
        <w:numPr>
          <w:ilvl w:val="0"/>
          <w:numId w:val="1"/>
        </w:numPr>
        <w:spacing w:after="100"/>
      </w:pPr>
      <w:r>
        <w:rPr>
          <w:b/>
          <w:bCs/>
          <w:color w:val="6939E2"/>
        </w:rPr>
        <w:t xml:space="preserve">Llamar "Aplicar" al paso de conversión, no "agenda en 3 minutos". </w:t>
      </w:r>
      <w:r>
        <w:t xml:space="preserve">30X nunca promete velocidad — su CTA principal es "Apply Now", que pone al visitante en modo "esto es selectivo, toma su tiempo" desde antes de abrir el formulario. Resuelve el hallazgo 3 cambiando la expectativa en vez del formulario.</w:t>
      </w:r>
    </w:p>
    <w:p>
      <w:pPr>
        <w:pStyle w:val="ListParagraph"/>
        <w:numPr>
          <w:ilvl w:val="0"/>
          <w:numId w:val="1"/>
        </w:numPr>
        <w:spacing w:after="100"/>
      </w:pPr>
      <w:r>
        <w:rPr>
          <w:b/>
          <w:bCs/>
          <w:color w:val="6939E2"/>
        </w:rPr>
        <w:t xml:space="preserve">Filo real en el diferencial, no solo estructura correcta. </w:t>
      </w:r>
      <w:r>
        <w:t xml:space="preserve">El manifiesto de 30X nombra el fracaso exacto de la alternativa ("profesores que nunca escalaron nada", "consultores vendiendo frameworks que nunca ejecutaron") y lo liga a una cicatriz propia de los fundadores. RiBuzz ya tiene esa cicatriz (el dato de origen: 66,5 % de empresas colombianas no sobrevive 5 años) pero la deja enterrada en /about — subirla al bloque de diferencial con ese mismo filo.</w:t>
      </w:r>
    </w:p>
    <w:p>
      <w:pPr>
        <w:pStyle w:val="ListParagraph"/>
        <w:numPr>
          <w:ilvl w:val="0"/>
          <w:numId w:val="1"/>
        </w:numPr>
        <w:spacing w:after="100"/>
      </w:pPr>
      <w:r>
        <w:rPr>
          <w:b/>
          <w:bCs/>
          <w:color w:val="6939E2"/>
        </w:rPr>
        <w:t xml:space="preserve">Una sola puerta, sin desvíos. </w:t>
      </w:r>
      <w:r>
        <w:t xml:space="preserve">El hero de 30X tiene exactamente dos CTAs (Aplicar / Ver programas), sin WhatsApp flotante ni link paralelo compitiendo. Confirma el hallazgo 2: consolidar en una sola puerta calificada.</w:t>
      </w:r>
    </w:p>
    <w:p>
      <w:pPr>
        <w:spacing w:after="160"/>
      </w:pPr>
      <w:r>
        <w:rPr>
          <w:i/>
          <w:iCs/>
          <w:color w:val="5A6072"/>
        </w:rPr>
        <w:t xml:space="preserve">Qué no copiar de 30X: su muro de logos (Google, Amazon, Uber, Rappi...) funciona porque pueden decir honestamente "nuestros alumnos trabajan ahí" a escala real (+3.100 estudiantes). Simularlo con 4 clientes rompería el estándar de honestidad que ya funciona bien en el paquete Fundamentos — sería copiar la táctica sin tener la base que la sostiene.</w:t>
      </w:r>
    </w:p>
    <w:p>
      <w:pPr>
        <w:pStyle w:val="Heading2"/>
        <w:spacing w:after="120" w:before="260"/>
      </w:pPr>
      <w:r>
        <w:rPr>
          <w:b/>
          <w:bCs/>
          <w:color w:val="1A1A2E"/>
        </w:rPr>
        <w:t xml:space="preserve">Growth Rockstar (LatAm) — qué aplicar</w:t>
      </w:r>
    </w:p>
    <w:p>
      <w:pPr>
        <w:spacing w:after="160"/>
      </w:pPr>
      <w:r>
        <w:t xml:space="preserve">Growth Rockstar es la academia/agencia de growth fundada por Dylan Rosemberg (con sesiones en vivo programadas en horario de México, Colombia, Argentina y Chile, y presencia constante en el ecosistema de founders LatAm — es además mentor citado dentro de 30X). Es el referente más cercano en categoría a RiBuzz dentro de la región: vende conocimiento y ejecución de crecimiento a founders y líderes con cupos limitados reales, selección explicada y una escalera de productos por nivel de compromiso.</w:t>
      </w:r>
    </w:p>
    <w:p>
      <w:pPr>
        <w:pStyle w:val="ListParagraph"/>
        <w:numPr>
          <w:ilvl w:val="0"/>
          <w:numId w:val="1"/>
        </w:numPr>
        <w:spacing w:after="100"/>
      </w:pPr>
      <w:r>
        <w:rPr>
          <w:b/>
          <w:bCs/>
          <w:color w:val="6939E2"/>
        </w:rPr>
        <w:t xml:space="preserve">"Cupos limitados" respaldado por un mecanismo real, no solo la frase. </w:t>
      </w:r>
      <w:r>
        <w:t xml:space="preserve">El FAQ explica exactamente por qué hay cupos limitados (seguimiento personalizado a cada participante y selección real) y cómo se selecciona (revisión de perfil de LinkedIn y referencias, 4 a 10 días hábiles para confirmar). RiBuzz usa "cupos limitados por trimestre" en el paquete Sistema y postura "Exigente" en /about, pero en ningún lugar del sitio explica cómo se decide quién entra.</w:t>
      </w:r>
    </w:p>
    <w:p>
      <w:pPr>
        <w:pStyle w:val="ListParagraph"/>
        <w:numPr>
          <w:ilvl w:val="0"/>
          <w:numId w:val="1"/>
        </w:numPr>
        <w:spacing w:after="100"/>
      </w:pPr>
      <w:r>
        <w:rPr>
          <w:b/>
          <w:bCs/>
          <w:color w:val="6939E2"/>
        </w:rPr>
        <w:t xml:space="preserve">Reserva de cupo con depósito, no solo un formulario. </w:t>
      </w:r>
      <w:r>
        <w:t xml:space="preserve">El cupo se reserva pagando una fracción del valor total (USD $95 de $1.295) antes de confirmar el resto — compromiso real, no solo intención declarada. Ver sección 4: esta táctica no aplica todavía a RiBuzz.</w:t>
      </w:r>
    </w:p>
    <w:p>
      <w:pPr>
        <w:pStyle w:val="ListParagraph"/>
        <w:numPr>
          <w:ilvl w:val="0"/>
          <w:numId w:val="1"/>
        </w:numPr>
        <w:spacing w:after="100"/>
      </w:pPr>
      <w:r>
        <w:rPr>
          <w:b/>
          <w:bCs/>
          <w:color w:val="6939E2"/>
        </w:rPr>
        <w:t xml:space="preserve">Un producto, una página dedicada — no todo apretado en una sola sección. </w:t>
      </w:r>
      <w:r>
        <w:t xml:space="preserve">Cada programa (Curso Growth Rockstar, Go-To-Market, Product Rockstar, Xtreme Growth, Empresas) tiene su propia landing completa con hero, FAQ y CTA propios. Los 5 paquetes de RiBuzz hoy comparten una sola sección de /services. Ver matices en la sección 4 — cualquier página adicional debe seguir terminando en el diagnóstico, no en un "comprar" directo.</w:t>
      </w:r>
    </w:p>
    <w:p>
      <w:pPr>
        <w:pStyle w:val="ListParagraph"/>
        <w:numPr>
          <w:ilvl w:val="0"/>
          <w:numId w:val="1"/>
        </w:numPr>
        <w:spacing w:after="100"/>
      </w:pPr>
      <w:r>
        <w:rPr>
          <w:b/>
          <w:bCs/>
          <w:color w:val="6939E2"/>
        </w:rPr>
        <w:t xml:space="preserve">FAQ en primera persona, dirigido a personas específicas por su situación exacta. </w:t>
      </w:r>
      <w:r>
        <w:t xml:space="preserve">Preguntas como "Trabajo full-time, ¿cuánto tiempo debo comprometerme?" o "Soy CEO/SVP/VP de una empresa grande y quiero inscribir a mi equipo", respondidas en voz de fundador, no de marca corporativa. Las FAQ de RiBuzz son sólidas en contenido pero más formales en tono — acercar la voz a la de un fundador que responde directamente reduce fricción de decisión.</w:t>
      </w:r>
    </w:p>
    <w:p>
      <w:pPr>
        <w:pStyle w:val="Heading2"/>
        <w:spacing w:after="120" w:before="260"/>
      </w:pPr>
      <w:r>
        <w:rPr>
          <w:b/>
          <w:bCs/>
          <w:color w:val="1A1A2E"/>
        </w:rPr>
        <w:t xml:space="preserve">EOS Worldwide — el referente de pipeline segmentado a replicar</w:t>
      </w:r>
    </w:p>
    <w:p>
      <w:pPr>
        <w:spacing w:after="160"/>
      </w:pPr>
      <w:r>
        <w:t xml:space="preserve">EOS Worldwide vende un sistema operativo para pymes ("Entrepreneurial Operating System") a través de una red de Implementers certificados — modelo y comprador muy cercanos a los de RiBuzz, con una metodología propia (Vision, Traction, Healthy) que se enseña en público, y un embudo de entrada excepcionalmente disciplinado. Es el referente más directo para replicar la arquitectura del pipeline, no solo tácticas sueltas de copy.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rPr>
          <w:tblHeader/>
        </w:trPr>
        <w:tc>
          <w:tcPr>
            <w:tcW w:type="dxa" w:w="2600"/>
            <w:shd w:fill="6939E2" w:val="clear"/>
            <w:tcMar>
              <w:top w:type="dxa" w:w="100"/>
              <w:left w:type="dxa" w:w="120"/>
              <w:bottom w:type="dxa" w:w="100"/>
              <w:right w:type="dxa" w:w="120"/>
            </w:tcMar>
          </w:tcPr>
          <w:p>
            <w:r>
              <w:rPr>
                <w:b/>
                <w:bCs/>
                <w:color w:val="FFFFFF"/>
                <w:sz w:val="20"/>
                <w:szCs w:val="20"/>
              </w:rPr>
              <w:t xml:space="preserve">Qué hace EOS</w:t>
            </w:r>
          </w:p>
        </w:tc>
        <w:tc>
          <w:tcPr>
            <w:tcW w:type="dxa" w:w="3600"/>
            <w:shd w:fill="6939E2" w:val="clear"/>
            <w:tcMar>
              <w:top w:type="dxa" w:w="100"/>
              <w:left w:type="dxa" w:w="120"/>
              <w:bottom w:type="dxa" w:w="100"/>
              <w:right w:type="dxa" w:w="120"/>
            </w:tcMar>
          </w:tcPr>
          <w:p>
            <w:r>
              <w:rPr>
                <w:b/>
                <w:bCs/>
                <w:color w:val="FFFFFF"/>
                <w:sz w:val="20"/>
                <w:szCs w:val="20"/>
              </w:rPr>
              <w:t xml:space="preserve">Cómo lo ejecuta</w:t>
            </w:r>
          </w:p>
        </w:tc>
        <w:tc>
          <w:tcPr>
            <w:tcW w:type="dxa" w:w="3300"/>
            <w:shd w:fill="6939E2" w:val="clear"/>
            <w:tcMar>
              <w:top w:type="dxa" w:w="100"/>
              <w:left w:type="dxa" w:w="120"/>
              <w:bottom w:type="dxa" w:w="100"/>
              <w:right w:type="dxa" w:w="120"/>
            </w:tcMar>
          </w:tcPr>
          <w:p>
            <w:r>
              <w:rPr>
                <w:b/>
                <w:bCs/>
                <w:color w:val="FFFFFF"/>
                <w:sz w:val="20"/>
                <w:szCs w:val="20"/>
              </w:rPr>
              <w:t xml:space="preserve">Qué replicar en RiBuzz</w:t>
            </w:r>
          </w:p>
        </w:tc>
      </w:tr>
      <w:tr>
        <w:tc>
          <w:tcPr>
            <w:tcW w:type="dxa" w:w="2600"/>
            <w:tcMar>
              <w:top w:type="dxa" w:w="100"/>
              <w:left w:type="dxa" w:w="120"/>
              <w:bottom w:type="dxa" w:w="100"/>
              <w:right w:type="dxa" w:w="120"/>
            </w:tcMar>
          </w:tcPr>
          <w:p>
            <w:r>
              <w:rPr>
                <w:b/>
                <w:bCs/>
                <w:color w:val="000000"/>
                <w:sz w:val="20"/>
                <w:szCs w:val="20"/>
              </w:rPr>
              <w:t xml:space="preserve">Entrada única, sin desvíos</w:t>
            </w:r>
          </w:p>
        </w:tc>
        <w:tc>
          <w:tcPr>
            <w:tcW w:type="dxa" w:w="3600"/>
            <w:tcMar>
              <w:top w:type="dxa" w:w="100"/>
              <w:left w:type="dxa" w:w="120"/>
              <w:bottom w:type="dxa" w:w="100"/>
              <w:right w:type="dxa" w:w="120"/>
            </w:tcMar>
          </w:tcPr>
          <w:p>
            <w:r>
              <w:rPr>
                <w:b w:val="false"/>
                <w:bCs w:val="false"/>
                <w:color w:val="000000"/>
                <w:sz w:val="20"/>
                <w:szCs w:val="20"/>
              </w:rPr>
              <w:t xml:space="preserve">"Get Started" es el único CTA repetido en header, hero, cada bloque de herramientas y footer. No hay WhatsApp flotante ni link de agenda alterno compitiendo.</w:t>
            </w:r>
          </w:p>
        </w:tc>
        <w:tc>
          <w:tcPr>
            <w:tcW w:type="dxa" w:w="3300"/>
            <w:tcMar>
              <w:top w:type="dxa" w:w="100"/>
              <w:left w:type="dxa" w:w="120"/>
              <w:bottom w:type="dxa" w:w="100"/>
              <w:right w:type="dxa" w:w="120"/>
            </w:tcMar>
          </w:tcPr>
          <w:p>
            <w:r>
              <w:rPr>
                <w:b w:val="false"/>
                <w:bCs w:val="false"/>
                <w:color w:val="000000"/>
                <w:sz w:val="20"/>
                <w:szCs w:val="20"/>
              </w:rPr>
              <w:t xml:space="preserve">Elimina las puertas laterales del hallazgo 2. RiBuzz debería dejar una sola puerta calificada (el wizard) y bajar WhatsApp a rol de soporte puntual.</w:t>
            </w:r>
          </w:p>
        </w:tc>
      </w:tr>
      <w:tr>
        <w:tc>
          <w:tcPr>
            <w:tcW w:type="dxa" w:w="2600"/>
            <w:tcMar>
              <w:top w:type="dxa" w:w="100"/>
              <w:left w:type="dxa" w:w="120"/>
              <w:bottom w:type="dxa" w:w="100"/>
              <w:right w:type="dxa" w:w="120"/>
            </w:tcMar>
          </w:tcPr>
          <w:p>
            <w:r>
              <w:rPr>
                <w:b/>
                <w:bCs/>
                <w:color w:val="000000"/>
                <w:sz w:val="20"/>
                <w:szCs w:val="20"/>
              </w:rPr>
              <w:t xml:space="preserve">Valor gratuito real, sin fricción, antes de pedir nada</w:t>
            </w:r>
          </w:p>
        </w:tc>
        <w:tc>
          <w:tcPr>
            <w:tcW w:type="dxa" w:w="3600"/>
            <w:tcMar>
              <w:top w:type="dxa" w:w="100"/>
              <w:left w:type="dxa" w:w="120"/>
              <w:bottom w:type="dxa" w:w="100"/>
              <w:right w:type="dxa" w:w="120"/>
            </w:tcMar>
          </w:tcPr>
          <w:p>
            <w:r>
              <w:rPr>
                <w:b w:val="false"/>
                <w:bCs w:val="false"/>
                <w:color w:val="000000"/>
                <w:sz w:val="20"/>
                <w:szCs w:val="20"/>
              </w:rPr>
              <w:t xml:space="preserve">5 herramientas completas descargables gratis (Vision/Traction Organizer, Accountability Chart, Scorecard, Rocks, Level 10 Meeting), sin gimmick de desbloqueo.</w:t>
            </w:r>
          </w:p>
        </w:tc>
        <w:tc>
          <w:tcPr>
            <w:tcW w:type="dxa" w:w="3300"/>
            <w:tcMar>
              <w:top w:type="dxa" w:w="100"/>
              <w:left w:type="dxa" w:w="120"/>
              <w:bottom w:type="dxa" w:w="100"/>
              <w:right w:type="dxa" w:w="120"/>
            </w:tcMar>
          </w:tcPr>
          <w:p>
            <w:r>
              <w:rPr>
                <w:b w:val="false"/>
                <w:bCs w:val="false"/>
                <w:color w:val="000000"/>
                <w:sz w:val="20"/>
                <w:szCs w:val="20"/>
              </w:rPr>
              <w:t xml:space="preserve">Comparar con /regalos: la caja de "deslizar para abrir" con 2 PDFs es más gimmick que valor. Regalar más y más directo construye confianza antes del formulario largo. Ver matices en la sección 4 — RiBuzz no debería regalar el CÓMO completo, solo aumentar el nivel de QUÉ/POR QUÉ gratuito.</w:t>
            </w:r>
          </w:p>
        </w:tc>
      </w:tr>
      <w:tr>
        <w:tc>
          <w:tcPr>
            <w:tcW w:type="dxa" w:w="2600"/>
            <w:tcMar>
              <w:top w:type="dxa" w:w="100"/>
              <w:left w:type="dxa" w:w="120"/>
              <w:bottom w:type="dxa" w:w="100"/>
              <w:right w:type="dxa" w:w="120"/>
            </w:tcMar>
          </w:tcPr>
          <w:p>
            <w:r>
              <w:rPr>
                <w:b/>
                <w:bCs/>
                <w:color w:val="000000"/>
                <w:sz w:val="20"/>
                <w:szCs w:val="20"/>
              </w:rPr>
              <w:t xml:space="preserve">Diagnóstico propio, honesto en el tiempo y con output inmediato</w:t>
            </w:r>
          </w:p>
        </w:tc>
        <w:tc>
          <w:tcPr>
            <w:tcW w:type="dxa" w:w="3600"/>
            <w:tcMar>
              <w:top w:type="dxa" w:w="100"/>
              <w:left w:type="dxa" w:w="120"/>
              <w:bottom w:type="dxa" w:w="100"/>
              <w:right w:type="dxa" w:w="120"/>
            </w:tcMar>
          </w:tcPr>
          <w:p>
            <w:r>
              <w:rPr>
                <w:b w:val="false"/>
                <w:bCs w:val="false"/>
                <w:color w:val="000000"/>
                <w:sz w:val="20"/>
                <w:szCs w:val="20"/>
              </w:rPr>
              <w:t xml:space="preserve">"20-question diagnostic. Free. Takes 10 minutes. Get your score and a roadmap." — el visitante recibe su puntaje y una ruta al instante, no solo entra a un sistema de ruteo invisible.</w:t>
            </w:r>
          </w:p>
        </w:tc>
        <w:tc>
          <w:tcPr>
            <w:tcW w:type="dxa" w:w="3300"/>
            <w:tcMar>
              <w:top w:type="dxa" w:w="100"/>
              <w:left w:type="dxa" w:w="120"/>
              <w:bottom w:type="dxa" w:w="100"/>
              <w:right w:type="dxa" w:w="120"/>
            </w:tcMar>
          </w:tcPr>
          <w:p>
            <w:r>
              <w:rPr>
                <w:b w:val="false"/>
                <w:bCs w:val="false"/>
                <w:color w:val="000000"/>
                <w:sz w:val="20"/>
                <w:szCs w:val="20"/>
              </w:rPr>
              <w:t xml:space="preserve">El wizard de /diagnostico calcula fitScore y routingTier puertas adentro, pero el visitante nunca ve su propio resultado como valor entregado. Mostrar una lectura de negocio (QUÉ/POR QUÉ/PARA QUÉ), no el score interno de ruteo — ver sección 4.</w:t>
            </w:r>
          </w:p>
        </w:tc>
      </w:tr>
      <w:tr>
        <w:tc>
          <w:tcPr>
            <w:tcW w:type="dxa" w:w="2600"/>
            <w:tcMar>
              <w:top w:type="dxa" w:w="100"/>
              <w:left w:type="dxa" w:w="120"/>
              <w:bottom w:type="dxa" w:w="100"/>
              <w:right w:type="dxa" w:w="120"/>
            </w:tcMar>
          </w:tcPr>
          <w:p>
            <w:r>
              <w:rPr>
                <w:b/>
                <w:bCs/>
                <w:color w:val="000000"/>
                <w:sz w:val="20"/>
                <w:szCs w:val="20"/>
              </w:rPr>
              <w:t xml:space="preserve">Segmentación explícita de audiencia dentro del mismo embudo</w:t>
            </w:r>
          </w:p>
        </w:tc>
        <w:tc>
          <w:tcPr>
            <w:tcW w:type="dxa" w:w="3600"/>
            <w:tcMar>
              <w:top w:type="dxa" w:w="100"/>
              <w:left w:type="dxa" w:w="120"/>
              <w:bottom w:type="dxa" w:w="100"/>
              <w:right w:type="dxa" w:w="120"/>
            </w:tcMar>
          </w:tcPr>
          <w:p>
            <w:r>
              <w:rPr>
                <w:b w:val="false"/>
                <w:bCs w:val="false"/>
                <w:color w:val="000000"/>
                <w:sz w:val="20"/>
                <w:szCs w:val="20"/>
              </w:rPr>
              <w:t xml:space="preserve">"Self-implement" vs. "trabajar con un Implementer" son caminos distintos, pero ambos arrancan en el mismo primer paso calificador ("entender si EOS es para ti").</w:t>
            </w:r>
          </w:p>
        </w:tc>
        <w:tc>
          <w:tcPr>
            <w:tcW w:type="dxa" w:w="3300"/>
            <w:tcMar>
              <w:top w:type="dxa" w:w="100"/>
              <w:left w:type="dxa" w:w="120"/>
              <w:bottom w:type="dxa" w:w="100"/>
              <w:right w:type="dxa" w:w="120"/>
            </w:tcMar>
          </w:tcPr>
          <w:p>
            <w:r>
              <w:rPr>
                <w:b w:val="false"/>
                <w:bCs w:val="false"/>
                <w:color w:val="000000"/>
                <w:sz w:val="20"/>
                <w:szCs w:val="20"/>
              </w:rPr>
              <w:t xml:space="preserve">Aplica directo al hallazgo 1: en vez de que el filtro "para quién no es esto" excluya a las empresas en etapa temprana, debería declarar sus dos audiencias (Fundamentos/Validación vs. Tracción en adelante) dentro del mismo flujo, no antes de él.</w:t>
            </w:r>
          </w:p>
        </w:tc>
      </w:tr>
      <w:tr>
        <w:tc>
          <w:tcPr>
            <w:tcW w:type="dxa" w:w="2600"/>
            <w:tcMar>
              <w:top w:type="dxa" w:w="100"/>
              <w:left w:type="dxa" w:w="120"/>
              <w:bottom w:type="dxa" w:w="100"/>
              <w:right w:type="dxa" w:w="120"/>
            </w:tcMar>
          </w:tcPr>
          <w:p>
            <w:r>
              <w:rPr>
                <w:b/>
                <w:bCs/>
                <w:color w:val="000000"/>
                <w:sz w:val="20"/>
                <w:szCs w:val="20"/>
              </w:rPr>
              <w:t xml:space="preserve">Metodología con nombre propio, enseñada gratis sin miedo a "regalar el cómo"</w:t>
            </w:r>
          </w:p>
        </w:tc>
        <w:tc>
          <w:tcPr>
            <w:tcW w:type="dxa" w:w="3600"/>
            <w:tcMar>
              <w:top w:type="dxa" w:w="100"/>
              <w:left w:type="dxa" w:w="120"/>
              <w:bottom w:type="dxa" w:w="100"/>
              <w:right w:type="dxa" w:w="120"/>
            </w:tcMar>
          </w:tcPr>
          <w:p>
            <w:r>
              <w:rPr>
                <w:b w:val="false"/>
                <w:bCs w:val="false"/>
                <w:color w:val="000000"/>
                <w:sz w:val="20"/>
                <w:szCs w:val="20"/>
              </w:rPr>
              <w:t xml:space="preserve">El modelo Vision/Traction/Healthy y los Seis Componentes Clave se explican completos y gratis en el sitio; lo que se vende es la ejecución y el acompañamiento semanal con un Implementer certificado.</w:t>
            </w:r>
          </w:p>
        </w:tc>
        <w:tc>
          <w:tcPr>
            <w:tcW w:type="dxa" w:w="3300"/>
            <w:tcMar>
              <w:top w:type="dxa" w:w="100"/>
              <w:left w:type="dxa" w:w="120"/>
              <w:bottom w:type="dxa" w:w="100"/>
              <w:right w:type="dxa" w:w="120"/>
            </w:tcMar>
          </w:tcPr>
          <w:p>
            <w:r>
              <w:rPr>
                <w:b w:val="false"/>
                <w:bCs w:val="false"/>
                <w:color w:val="000000"/>
                <w:sz w:val="20"/>
                <w:szCs w:val="20"/>
              </w:rPr>
              <w:t xml:space="preserve">Ver sección 4: esta táctica no aplica tal cual a RiBuzz — hay una regla de marca explícita en contra de regalar el cómo completo en el diagnóstico.</w:t>
            </w:r>
          </w:p>
        </w:tc>
      </w:tr>
      <w:tr>
        <w:tc>
          <w:tcPr>
            <w:tcW w:type="dxa" w:w="2600"/>
            <w:tcMar>
              <w:top w:type="dxa" w:w="100"/>
              <w:left w:type="dxa" w:w="120"/>
              <w:bottom w:type="dxa" w:w="100"/>
              <w:right w:type="dxa" w:w="120"/>
            </w:tcMar>
          </w:tcPr>
          <w:p>
            <w:r>
              <w:rPr>
                <w:b/>
                <w:bCs/>
                <w:color w:val="000000"/>
                <w:sz w:val="20"/>
                <w:szCs w:val="20"/>
              </w:rPr>
              <w:t xml:space="preserve">Prueba social con nombre, cargo y empresa reales</w:t>
            </w:r>
          </w:p>
        </w:tc>
        <w:tc>
          <w:tcPr>
            <w:tcW w:type="dxa" w:w="3600"/>
            <w:tcMar>
              <w:top w:type="dxa" w:w="100"/>
              <w:left w:type="dxa" w:w="120"/>
              <w:bottom w:type="dxa" w:w="100"/>
              <w:right w:type="dxa" w:w="120"/>
            </w:tcMar>
          </w:tcPr>
          <w:p>
            <w:r>
              <w:rPr>
                <w:b w:val="false"/>
                <w:bCs w:val="false"/>
                <w:color w:val="000000"/>
                <w:sz w:val="20"/>
                <w:szCs w:val="20"/>
              </w:rPr>
              <w:t xml:space="preserve">Testimonio citado: "Anthony Karls, Rocket Clicks", más una fila de logos reconocibles (Chick-fil-A, Hilton, ServPro, Ben &amp; Jerry's, entre otros).</w:t>
            </w:r>
          </w:p>
        </w:tc>
        <w:tc>
          <w:tcPr>
            <w:tcW w:type="dxa" w:w="3300"/>
            <w:tcMar>
              <w:top w:type="dxa" w:w="100"/>
              <w:left w:type="dxa" w:w="120"/>
              <w:bottom w:type="dxa" w:w="100"/>
              <w:right w:type="dxa" w:w="120"/>
            </w:tcMar>
          </w:tcPr>
          <w:p>
            <w:r>
              <w:rPr>
                <w:b w:val="false"/>
                <w:bCs w:val="false"/>
                <w:color w:val="000000"/>
                <w:sz w:val="20"/>
                <w:szCs w:val="20"/>
              </w:rPr>
              <w:t xml:space="preserve">Mismo patrón que 30X: nombre + cargo + empresa verificable, no "Empresa B2B en Medellín". Refuerza el hallazgo 5 del diagnóstico original.</w:t>
            </w:r>
          </w:p>
        </w:tc>
      </w:tr>
    </w:tbl>
    <w:p>
      <w:pPr>
        <w:spacing w:after="160"/>
      </w:pPr>
      <w:r>
        <w:rPr>
          <w:i/>
          <w:iCs/>
        </w:rPr>
        <w:t xml:space="preserve">El patrón de fondo que sostiene todo el embudo de EOS: regalan la metodología completa (qué es y cómo se ve) y cobran por la ejecución guiada y sostenida. Ver sección 4 — este patrón de fondo no debería copiarse tal cual en RiBuzz, aunque la arquitectura de embudo (entrada única, diagnóstico honesto, segmentación explícita) sí aplica.</w:t>
      </w:r>
    </w:p>
    <w:p>
      <w:pPr>
        <w:pStyle w:val="Heading1"/>
        <w:spacing w:after="200" w:before="400"/>
      </w:pPr>
      <w:r>
        <w:rPr>
          <w:b/>
          <w:bCs/>
          <w:color w:val="6939E2"/>
        </w:rPr>
        <w:t xml:space="preserve">4. Filtro de marca y modelo de negocio</w:t>
      </w:r>
    </w:p>
    <w:p>
      <w:pPr>
        <w:spacing w:after="160"/>
      </w:pPr>
      <w:r>
        <w:t xml:space="preserve">Antes de convertir cualquier recomendación de la sección 3 en trabajo, se cruzaron contra la fuente de verdad interna de RiBuzz: la Matriz IA General v2.1 (fecha de corte 18 de marzo de 2026), que define identidad, ICP, flujo operativo, tono y estado real del negocio. Tres tácticas quedan fuera tal como están descritas en los referentes, cuatro quedan confirmadas, y aparece el hallazgo 8 — que no vino de ningún benchmark externo, sino de comparar el sitio contra la propia base de conocimiento de RiBuzz.</w:t>
      </w:r>
    </w:p>
    <w:p>
      <w:pPr>
        <w:pStyle w:val="Heading2"/>
        <w:spacing w:after="120" w:before="260"/>
      </w:pPr>
      <w:r>
        <w:rPr>
          <w:b/>
          <w:bCs/>
          <w:color w:val="1A1A2E"/>
        </w:rPr>
        <w:t xml:space="preserve">Sí va — confirmado por la matriz</w:t>
      </w:r>
    </w:p>
    <w:p>
      <w:pPr>
        <w:pStyle w:val="ListParagraph"/>
        <w:numPr>
          <w:ilvl w:val="0"/>
          <w:numId w:val="1"/>
        </w:numPr>
        <w:spacing w:after="100"/>
      </w:pPr>
      <w:r>
        <w:rPr>
          <w:b/>
          <w:bCs/>
          <w:color w:val="6939E2"/>
        </w:rPr>
        <w:t xml:space="preserve">Consolidar en una sola puerta calificada (hallazgo 2). </w:t>
      </w:r>
      <w:r>
        <w:t xml:space="preserve">La propia base de conocimiento de automatización de RiBuzz define el objetivo como reemplazar procesos ad-hoc por WhatsApp con pipelines estructurados y medibles. No es una preferencia de diseño, es un objetivo de negocio ya declarado.</w:t>
      </w:r>
    </w:p>
    <w:p>
      <w:pPr>
        <w:pStyle w:val="ListParagraph"/>
        <w:numPr>
          <w:ilvl w:val="0"/>
          <w:numId w:val="1"/>
        </w:numPr>
        <w:spacing w:after="100"/>
      </w:pPr>
      <w:r>
        <w:rPr>
          <w:b/>
          <w:bCs/>
          <w:color w:val="6939E2"/>
        </w:rPr>
        <w:t xml:space="preserve">Corregir el filtro ICP (hallazgo 1). </w:t>
      </w:r>
      <w:r>
        <w:t xml:space="preserve">La matriz define el ICP como "empresas en etapa temprana o en transformación", sin exigir que ya vendan. El filtro actual del sitio ("para quién no es esto") es más estricto que la propia definición de negocio de RiBuzz.</w:t>
      </w:r>
    </w:p>
    <w:p>
      <w:pPr>
        <w:pStyle w:val="ListParagraph"/>
        <w:numPr>
          <w:ilvl w:val="0"/>
          <w:numId w:val="1"/>
        </w:numPr>
        <w:spacing w:after="100"/>
      </w:pPr>
      <w:r>
        <w:rPr>
          <w:b/>
          <w:bCs/>
          <w:color w:val="6939E2"/>
        </w:rPr>
        <w:t xml:space="preserve">Testimonios con nombre real, usando los casos ya documentados (30X, EOS). </w:t>
      </w:r>
      <w:r>
        <w:t xml:space="preserve">La matriz ya documenta los 3 casos que hoy aparecen anónimos en el sitio, con más detalle del que se usa: TerraTravel (landing pages + tarjetas NFC, cerrado y entregado), Facial Fitness (optimización de proceso comercial digital + estrategia de Instagram orientada a conversión, ejecutado), Neomech (acompañamiento en gestación, diseño de proceso comercial y adquisición de clientes, activo). No hace falta inventar prueba social nueva — solo usar la que ya está documentada internamente y pedir permiso para nombrarla.</w:t>
      </w:r>
    </w:p>
    <w:p>
      <w:pPr>
        <w:pStyle w:val="ListParagraph"/>
        <w:numPr>
          <w:ilvl w:val="0"/>
          <w:numId w:val="1"/>
        </w:numPr>
        <w:spacing w:after="100"/>
      </w:pPr>
      <w:r>
        <w:rPr>
          <w:b/>
          <w:bCs/>
          <w:color w:val="6939E2"/>
        </w:rPr>
        <w:t xml:space="preserve">Explicar el mecanismo real detrás de "cupos limitados" (Growth Rockstar). </w:t>
      </w:r>
      <w:r>
        <w:t xml:space="preserve">La matriz ya define el criterio real de calificación: willingness to pay, dolor abordable por RiBuzz, fit con mejora de procesos comerciales, disposición a ejecutar y coachability. No hay que inventar un proceso de selección — solo hacerlo visible en el sitio.</w:t>
      </w:r>
    </w:p>
    <w:p>
      <w:pPr>
        <w:pStyle w:val="Heading2"/>
        <w:spacing w:after="120" w:before="260"/>
      </w:pPr>
      <w:r>
        <w:rPr>
          <w:b/>
          <w:bCs/>
          <w:color w:val="1A1A2E"/>
        </w:rPr>
        <w:t xml:space="preserve">No va tal cual — choca con la matriz</w:t>
      </w:r>
    </w:p>
    <w:p>
      <w:pPr>
        <w:pStyle w:val="ListParagraph"/>
        <w:numPr>
          <w:ilvl w:val="0"/>
          <w:numId w:val="1"/>
        </w:numPr>
        <w:spacing w:after="100"/>
      </w:pPr>
      <w:r>
        <w:rPr>
          <w:b/>
          <w:bCs/>
          <w:color w:val="C0392B"/>
        </w:rPr>
        <w:t xml:space="preserve">Regalar la metodología completa gratis (EOS). </w:t>
      </w:r>
      <w:r>
        <w:t xml:space="preserve">Choca directo con una regla ya escrita en las instrucciones de marca de RiBuzz: en el diagnóstico se muestra el qué, el por qué y el para qué; el cómo se vende y se trabaja dentro del acompañamiento. EOS puede regalar sus 5 herramientas completas porque vende un curso infinitamente escalable; RiBuzz vende ejecución gestionada con capacidad real de equipo — regalar el cómo completo canibalizaría exactamente lo que cobra.</w:t>
      </w:r>
    </w:p>
    <w:p>
      <w:pPr>
        <w:pStyle w:val="ListParagraph"/>
        <w:numPr>
          <w:ilvl w:val="0"/>
          <w:numId w:val="1"/>
        </w:numPr>
        <w:spacing w:after="100"/>
      </w:pPr>
      <w:r>
        <w:rPr>
          <w:b/>
          <w:bCs/>
          <w:color w:val="C0392B"/>
        </w:rPr>
        <w:t xml:space="preserve">Reserva de cupo con depósito (Growth Rockstar). </w:t>
      </w:r>
      <w:r>
        <w:t xml:space="preserve">La matriz marca el pricing y el esquema de hitos como "pendiente de canonizar" (ver hallazgo 8). Cobrar un depósito implica un compromiso de precio firme que RiBuzz todavía no tiene cerrado ni siquiera internamente.</w:t>
      </w:r>
    </w:p>
    <w:p>
      <w:pPr>
        <w:pStyle w:val="ListParagraph"/>
        <w:numPr>
          <w:ilvl w:val="0"/>
          <w:numId w:val="1"/>
        </w:numPr>
        <w:spacing w:after="100"/>
      </w:pPr>
      <w:r>
        <w:rPr>
          <w:b/>
          <w:bCs/>
          <w:color w:val="C0392B"/>
        </w:rPr>
        <w:t xml:space="preserve">Página propia por paquete, estilo catálogo (Growth Rockstar). </w:t>
      </w:r>
      <w:r>
        <w:t xml:space="preserve">La matriz declara explícitamente que RiBuzz "no es" un catálogo autogestionado de servicios, y que el modelo no debe "presentar catálogos o demasiadas opciones sin filtro". Dar más contenido a Sistema y Expansión puede ser correcto, pero cada página debe seguir terminando en el diagnóstico — nunca en un botón de "comprar" o "suscribirse" directo por paquete.</w:t>
      </w:r>
    </w:p>
    <w:p>
      <w:pPr>
        <w:spacing w:after="160"/>
      </w:pPr>
      <w:r>
        <w:rPr>
          <w:i/>
          <w:iCs/>
          <w:color w:val="5A6072"/>
        </w:rPr>
        <w:t xml:space="preserve">Bonus fuera de prioridad: la matriz declara sectores de alineación preferente — salud, bienestar, desarrollo económico, relaciones y desarrollo personal — que hoy no aparecen en ninguna parte del sitio, ni en el filtro "para quién es esto" ni en los casos mostrados. Vale decidir si se comunican explícitamente o si se dejan como criterio interno de priorización.</w:t>
      </w:r>
    </w:p>
    <w:p>
      <w:pPr>
        <w:pStyle w:val="Heading1"/>
        <w:spacing w:after="200" w:before="400"/>
      </w:pPr>
      <w:r>
        <w:rPr>
          <w:b/>
          <w:bCs/>
          <w:color w:val="6939E2"/>
        </w:rPr>
        <w:t xml:space="preserve">5. Prioridades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600"/>
        <w:gridCol w:w="1900"/>
      </w:tblGrid>
      <w:tr>
        <w:trPr>
          <w:tblHeader/>
        </w:trPr>
        <w:tc>
          <w:tcPr>
            <w:tcW w:type="dxa" w:w="900"/>
            <w:shd w:fill="6939E2" w:val="clear"/>
            <w:tcMar>
              <w:top w:type="dxa" w:w="100"/>
              <w:left w:type="dxa" w:w="120"/>
              <w:bottom w:type="dxa" w:w="100"/>
              <w:right w:type="dxa" w:w="120"/>
            </w:tcMar>
          </w:tcPr>
          <w:p>
            <w:r>
              <w:rPr>
                <w:b/>
                <w:bCs/>
                <w:color w:val="FFFFFF"/>
                <w:sz w:val="20"/>
                <w:szCs w:val="20"/>
              </w:rPr>
              <w:t xml:space="preserve">Prioridad</w:t>
            </w:r>
          </w:p>
        </w:tc>
        <w:tc>
          <w:tcPr>
            <w:tcW w:type="dxa" w:w="3600"/>
            <w:shd w:fill="6939E2" w:val="clear"/>
            <w:tcMar>
              <w:top w:type="dxa" w:w="100"/>
              <w:left w:type="dxa" w:w="120"/>
              <w:bottom w:type="dxa" w:w="100"/>
              <w:right w:type="dxa" w:w="120"/>
            </w:tcMar>
          </w:tcPr>
          <w:p>
            <w:r>
              <w:rPr>
                <w:b/>
                <w:bCs/>
                <w:color w:val="FFFFFF"/>
                <w:sz w:val="20"/>
                <w:szCs w:val="20"/>
              </w:rPr>
              <w:t xml:space="preserve">Hallazgo</w:t>
            </w:r>
          </w:p>
        </w:tc>
        <w:tc>
          <w:tcPr>
            <w:tcW w:type="dxa" w:w="3600"/>
            <w:shd w:fill="6939E2" w:val="clear"/>
            <w:tcMar>
              <w:top w:type="dxa" w:w="100"/>
              <w:left w:type="dxa" w:w="120"/>
              <w:bottom w:type="dxa" w:w="100"/>
              <w:right w:type="dxa" w:w="120"/>
            </w:tcMar>
          </w:tcPr>
          <w:p>
            <w:r>
              <w:rPr>
                <w:b/>
                <w:bCs/>
                <w:color w:val="FFFFFF"/>
                <w:sz w:val="20"/>
                <w:szCs w:val="20"/>
              </w:rPr>
              <w:t xml:space="preserve">Impacto en ingresos</w:t>
            </w:r>
          </w:p>
        </w:tc>
        <w:tc>
          <w:tcPr>
            <w:tcW w:type="dxa" w:w="1900"/>
            <w:shd w:fill="6939E2" w:val="clear"/>
            <w:tcMar>
              <w:top w:type="dxa" w:w="100"/>
              <w:left w:type="dxa" w:w="120"/>
              <w:bottom w:type="dxa" w:w="100"/>
              <w:right w:type="dxa" w:w="120"/>
            </w:tcMar>
          </w:tcPr>
          <w:p>
            <w:r>
              <w:rPr>
                <w:b/>
                <w:bCs/>
                <w:color w:val="FFFFFF"/>
                <w:sz w:val="20"/>
                <w:szCs w:val="20"/>
              </w:rPr>
              <w:t xml:space="preserve">Costo de arreglo</w:t>
            </w:r>
          </w:p>
        </w:tc>
      </w:tr>
      <w:tr>
        <w:tc>
          <w:tcPr>
            <w:tcW w:type="dxa" w:w="900"/>
            <w:shd w:fill="F3E9FF" w:val="clear"/>
            <w:tcMar>
              <w:top w:type="dxa" w:w="100"/>
              <w:left w:type="dxa" w:w="120"/>
              <w:bottom w:type="dxa" w:w="100"/>
              <w:right w:type="dxa" w:w="120"/>
            </w:tcMar>
          </w:tcPr>
          <w:p>
            <w:r>
              <w:rPr>
                <w:b/>
                <w:bCs/>
                <w:color w:val="000000"/>
                <w:sz w:val="20"/>
                <w:szCs w:val="20"/>
              </w:rPr>
              <w:t xml:space="preserve">P0</w:t>
            </w:r>
          </w:p>
        </w:tc>
        <w:tc>
          <w:tcPr>
            <w:tcW w:type="dxa" w:w="3600"/>
            <w:shd w:fill="F3E9FF" w:val="clear"/>
            <w:tcMar>
              <w:top w:type="dxa" w:w="100"/>
              <w:left w:type="dxa" w:w="120"/>
              <w:bottom w:type="dxa" w:w="100"/>
              <w:right w:type="dxa" w:w="120"/>
            </w:tcMar>
          </w:tcPr>
          <w:p>
            <w:r>
              <w:rPr>
                <w:b w:val="false"/>
                <w:bCs w:val="false"/>
                <w:color w:val="000000"/>
                <w:sz w:val="20"/>
                <w:szCs w:val="20"/>
              </w:rPr>
              <w:t xml:space="preserve">El sitio presenta como decidido (fee por hitos, nombres de paquetes) lo que la matriz interna marca como "pendiente de canonizar"</w:t>
            </w:r>
          </w:p>
        </w:tc>
        <w:tc>
          <w:tcPr>
            <w:tcW w:type="dxa" w:w="3600"/>
            <w:shd w:fill="F3E9FF" w:val="clear"/>
            <w:tcMar>
              <w:top w:type="dxa" w:w="100"/>
              <w:left w:type="dxa" w:w="120"/>
              <w:bottom w:type="dxa" w:w="100"/>
              <w:right w:type="dxa" w:w="120"/>
            </w:tcMar>
          </w:tcPr>
          <w:p>
            <w:r>
              <w:rPr>
                <w:b w:val="false"/>
                <w:bCs w:val="false"/>
                <w:color w:val="000000"/>
                <w:sz w:val="20"/>
                <w:szCs w:val="20"/>
              </w:rPr>
              <w:t xml:space="preserve">Riesgo de expectativa incumplida con clientes reales sobre cómo se cobra</w:t>
            </w:r>
          </w:p>
        </w:tc>
        <w:tc>
          <w:tcPr>
            <w:tcW w:type="dxa" w:w="1900"/>
            <w:shd w:fill="F3E9FF" w:val="clear"/>
            <w:tcMar>
              <w:top w:type="dxa" w:w="100"/>
              <w:left w:type="dxa" w:w="120"/>
              <w:bottom w:type="dxa" w:w="100"/>
              <w:right w:type="dxa" w:w="120"/>
            </w:tcMar>
          </w:tcPr>
          <w:p>
            <w:r>
              <w:rPr>
                <w:b w:val="false"/>
                <w:bCs w:val="false"/>
                <w:color w:val="000000"/>
                <w:sz w:val="20"/>
                <w:szCs w:val="20"/>
              </w:rPr>
              <w:t xml:space="preserve">Medio — decisión de negocio: canonizar internamente o suavizar el copy</w:t>
            </w:r>
          </w:p>
        </w:tc>
      </w:tr>
      <w:tr>
        <w:tc>
          <w:tcPr>
            <w:tcW w:type="dxa" w:w="900"/>
            <w:shd w:fill="F3E9FF" w:val="clear"/>
            <w:tcMar>
              <w:top w:type="dxa" w:w="100"/>
              <w:left w:type="dxa" w:w="120"/>
              <w:bottom w:type="dxa" w:w="100"/>
              <w:right w:type="dxa" w:w="120"/>
            </w:tcMar>
          </w:tcPr>
          <w:p>
            <w:r>
              <w:rPr>
                <w:b/>
                <w:bCs/>
                <w:color w:val="000000"/>
                <w:sz w:val="20"/>
                <w:szCs w:val="20"/>
              </w:rPr>
              <w:t xml:space="preserve">P0</w:t>
            </w:r>
          </w:p>
        </w:tc>
        <w:tc>
          <w:tcPr>
            <w:tcW w:type="dxa" w:w="3600"/>
            <w:shd w:fill="F3E9FF" w:val="clear"/>
            <w:tcMar>
              <w:top w:type="dxa" w:w="100"/>
              <w:left w:type="dxa" w:w="120"/>
              <w:bottom w:type="dxa" w:w="100"/>
              <w:right w:type="dxa" w:w="120"/>
            </w:tcMar>
          </w:tcPr>
          <w:p>
            <w:r>
              <w:rPr>
                <w:b w:val="false"/>
                <w:bCs w:val="false"/>
                <w:color w:val="000000"/>
                <w:sz w:val="20"/>
                <w:szCs w:val="20"/>
              </w:rPr>
              <w:t xml:space="preserve">ICP contradictorio en el filtro "para quién es / no es"</w:t>
            </w:r>
          </w:p>
        </w:tc>
        <w:tc>
          <w:tcPr>
            <w:tcW w:type="dxa" w:w="3600"/>
            <w:shd w:fill="F3E9FF" w:val="clear"/>
            <w:tcMar>
              <w:top w:type="dxa" w:w="100"/>
              <w:left w:type="dxa" w:w="120"/>
              <w:bottom w:type="dxa" w:w="100"/>
              <w:right w:type="dxa" w:w="120"/>
            </w:tcMar>
          </w:tcPr>
          <w:p>
            <w:r>
              <w:rPr>
                <w:b w:val="false"/>
                <w:bCs w:val="false"/>
                <w:color w:val="000000"/>
                <w:sz w:val="20"/>
                <w:szCs w:val="20"/>
              </w:rPr>
              <w:t xml:space="preserve">Filtra prospectos pagos (Fundamentos, Validación) con la propia herramienta de calificación</w:t>
            </w:r>
          </w:p>
        </w:tc>
        <w:tc>
          <w:tcPr>
            <w:tcW w:type="dxa" w:w="1900"/>
            <w:shd w:fill="F3E9FF" w:val="clear"/>
            <w:tcMar>
              <w:top w:type="dxa" w:w="100"/>
              <w:left w:type="dxa" w:w="120"/>
              <w:bottom w:type="dxa" w:w="100"/>
              <w:right w:type="dxa" w:w="120"/>
            </w:tcMar>
          </w:tcPr>
          <w:p>
            <w:r>
              <w:rPr>
                <w:b w:val="false"/>
                <w:bCs w:val="false"/>
                <w:color w:val="000000"/>
                <w:sz w:val="20"/>
                <w:szCs w:val="20"/>
              </w:rPr>
              <w:t xml:space="preserve">Bajo — edición de copy</w:t>
            </w:r>
          </w:p>
        </w:tc>
      </w:tr>
      <w:tr>
        <w:tc>
          <w:tcPr>
            <w:tcW w:type="dxa" w:w="900"/>
            <w:shd w:fill="F3E9FF" w:val="clear"/>
            <w:tcMar>
              <w:top w:type="dxa" w:w="100"/>
              <w:left w:type="dxa" w:w="120"/>
              <w:bottom w:type="dxa" w:w="100"/>
              <w:right w:type="dxa" w:w="120"/>
            </w:tcMar>
          </w:tcPr>
          <w:p>
            <w:r>
              <w:rPr>
                <w:b/>
                <w:bCs/>
                <w:color w:val="000000"/>
                <w:sz w:val="20"/>
                <w:szCs w:val="20"/>
              </w:rPr>
              <w:t xml:space="preserve">P0</w:t>
            </w:r>
          </w:p>
        </w:tc>
        <w:tc>
          <w:tcPr>
            <w:tcW w:type="dxa" w:w="3600"/>
            <w:shd w:fill="F3E9FF" w:val="clear"/>
            <w:tcMar>
              <w:top w:type="dxa" w:w="100"/>
              <w:left w:type="dxa" w:w="120"/>
              <w:bottom w:type="dxa" w:w="100"/>
              <w:right w:type="dxa" w:w="120"/>
            </w:tcMar>
          </w:tcPr>
          <w:p>
            <w:r>
              <w:rPr>
                <w:b w:val="false"/>
                <w:bCs w:val="false"/>
                <w:color w:val="000000"/>
                <w:sz w:val="20"/>
                <w:szCs w:val="20"/>
              </w:rPr>
              <w:t xml:space="preserve">Puertas laterales que evitan el fit-score (WhatsApp, cal.com directo en /contacto)</w:t>
            </w:r>
          </w:p>
        </w:tc>
        <w:tc>
          <w:tcPr>
            <w:tcW w:type="dxa" w:w="3600"/>
            <w:shd w:fill="F3E9FF" w:val="clear"/>
            <w:tcMar>
              <w:top w:type="dxa" w:w="100"/>
              <w:left w:type="dxa" w:w="120"/>
              <w:bottom w:type="dxa" w:w="100"/>
              <w:right w:type="dxa" w:w="120"/>
            </w:tcMar>
          </w:tcPr>
          <w:p>
            <w:r>
              <w:rPr>
                <w:b w:val="false"/>
                <w:bCs w:val="false"/>
                <w:color w:val="000000"/>
                <w:sz w:val="20"/>
                <w:szCs w:val="20"/>
              </w:rPr>
              <w:t xml:space="preserve">El sistema de ruteo automático no captura ni protege esos leads</w:t>
            </w:r>
          </w:p>
        </w:tc>
        <w:tc>
          <w:tcPr>
            <w:tcW w:type="dxa" w:w="1900"/>
            <w:shd w:fill="F3E9FF" w:val="clear"/>
            <w:tcMar>
              <w:top w:type="dxa" w:w="100"/>
              <w:left w:type="dxa" w:w="120"/>
              <w:bottom w:type="dxa" w:w="100"/>
              <w:right w:type="dxa" w:w="120"/>
            </w:tcMar>
          </w:tcPr>
          <w:p>
            <w:r>
              <w:rPr>
                <w:b w:val="false"/>
                <w:bCs w:val="false"/>
                <w:color w:val="000000"/>
                <w:sz w:val="20"/>
                <w:szCs w:val="20"/>
              </w:rPr>
              <w:t xml:space="preserve">Bajo/medio — decisión de negocio + edición de copy</w:t>
            </w:r>
          </w:p>
        </w:tc>
      </w:tr>
      <w:tr>
        <w:tc>
          <w:tcPr>
            <w:tcW w:type="dxa" w:w="900"/>
            <w:tcMar>
              <w:top w:type="dxa" w:w="100"/>
              <w:left w:type="dxa" w:w="120"/>
              <w:bottom w:type="dxa" w:w="100"/>
              <w:right w:type="dxa" w:w="120"/>
            </w:tcMar>
          </w:tcPr>
          <w:p>
            <w:r>
              <w:rPr>
                <w:b/>
                <w:bCs/>
                <w:color w:val="000000"/>
                <w:sz w:val="20"/>
                <w:szCs w:val="20"/>
              </w:rPr>
              <w:t xml:space="preserve">P1</w:t>
            </w:r>
          </w:p>
        </w:tc>
        <w:tc>
          <w:tcPr>
            <w:tcW w:type="dxa" w:w="3600"/>
            <w:tcMar>
              <w:top w:type="dxa" w:w="100"/>
              <w:left w:type="dxa" w:w="120"/>
              <w:bottom w:type="dxa" w:w="100"/>
              <w:right w:type="dxa" w:w="120"/>
            </w:tcMar>
          </w:tcPr>
          <w:p>
            <w:r>
              <w:rPr>
                <w:b w:val="false"/>
                <w:bCs w:val="false"/>
                <w:color w:val="000000"/>
                <w:sz w:val="20"/>
                <w:szCs w:val="20"/>
              </w:rPr>
              <w:t xml:space="preserve">Promesa "menos de 3 minutos" vs. wizard real de 15 campos</w:t>
            </w:r>
          </w:p>
        </w:tc>
        <w:tc>
          <w:tcPr>
            <w:tcW w:type="dxa" w:w="3600"/>
            <w:tcMar>
              <w:top w:type="dxa" w:w="100"/>
              <w:left w:type="dxa" w:w="120"/>
              <w:bottom w:type="dxa" w:w="100"/>
              <w:right w:type="dxa" w:w="120"/>
            </w:tcMar>
          </w:tcPr>
          <w:p>
            <w:r>
              <w:rPr>
                <w:b w:val="false"/>
                <w:bCs w:val="false"/>
                <w:color w:val="000000"/>
                <w:sz w:val="20"/>
                <w:szCs w:val="20"/>
              </w:rPr>
              <w:t xml:space="preserve">Expectativa incumplida en el paso de conversión más importante del sitio</w:t>
            </w:r>
          </w:p>
        </w:tc>
        <w:tc>
          <w:tcPr>
            <w:tcW w:type="dxa" w:w="1900"/>
            <w:tcMar>
              <w:top w:type="dxa" w:w="100"/>
              <w:left w:type="dxa" w:w="120"/>
              <w:bottom w:type="dxa" w:w="100"/>
              <w:right w:type="dxa" w:w="120"/>
            </w:tcMar>
          </w:tcPr>
          <w:p>
            <w:r>
              <w:rPr>
                <w:b w:val="false"/>
                <w:bCs w:val="false"/>
                <w:color w:val="000000"/>
                <w:sz w:val="20"/>
                <w:szCs w:val="20"/>
              </w:rPr>
              <w:t xml:space="preserve">Bajo — ajustar copy o recortar campos</w:t>
            </w:r>
          </w:p>
        </w:tc>
      </w:tr>
      <w:tr>
        <w:tc>
          <w:tcPr>
            <w:tcW w:type="dxa" w:w="900"/>
            <w:tcMar>
              <w:top w:type="dxa" w:w="100"/>
              <w:left w:type="dxa" w:w="120"/>
              <w:bottom w:type="dxa" w:w="100"/>
              <w:right w:type="dxa" w:w="120"/>
            </w:tcMar>
          </w:tcPr>
          <w:p>
            <w:r>
              <w:rPr>
                <w:b/>
                <w:bCs/>
                <w:color w:val="000000"/>
                <w:sz w:val="20"/>
                <w:szCs w:val="20"/>
              </w:rPr>
              <w:t xml:space="preserve">P1</w:t>
            </w:r>
          </w:p>
        </w:tc>
        <w:tc>
          <w:tcPr>
            <w:tcW w:type="dxa" w:w="3600"/>
            <w:tcMar>
              <w:top w:type="dxa" w:w="100"/>
              <w:left w:type="dxa" w:w="120"/>
              <w:bottom w:type="dxa" w:w="100"/>
              <w:right w:type="dxa" w:w="120"/>
            </w:tcMar>
          </w:tcPr>
          <w:p>
            <w:r>
              <w:rPr>
                <w:b w:val="false"/>
                <w:bCs w:val="false"/>
                <w:color w:val="000000"/>
                <w:sz w:val="20"/>
                <w:szCs w:val="20"/>
              </w:rPr>
              <w:t xml:space="preserve">Home y Services repiten bloques de copy palabra por palabra</w:t>
            </w:r>
          </w:p>
        </w:tc>
        <w:tc>
          <w:tcPr>
            <w:tcW w:type="dxa" w:w="3600"/>
            <w:tcMar>
              <w:top w:type="dxa" w:w="100"/>
              <w:left w:type="dxa" w:w="120"/>
              <w:bottom w:type="dxa" w:w="100"/>
              <w:right w:type="dxa" w:w="120"/>
            </w:tcMar>
          </w:tcPr>
          <w:p>
            <w:r>
              <w:rPr>
                <w:b w:val="false"/>
                <w:bCs w:val="false"/>
                <w:color w:val="000000"/>
                <w:sz w:val="20"/>
                <w:szCs w:val="20"/>
              </w:rPr>
              <w:t xml:space="preserve">Sin razón para profundizar de Home a Services; se pierde progresión del embudo</w:t>
            </w:r>
          </w:p>
        </w:tc>
        <w:tc>
          <w:tcPr>
            <w:tcW w:type="dxa" w:w="1900"/>
            <w:tcMar>
              <w:top w:type="dxa" w:w="100"/>
              <w:left w:type="dxa" w:w="120"/>
              <w:bottom w:type="dxa" w:w="100"/>
              <w:right w:type="dxa" w:w="120"/>
            </w:tcMar>
          </w:tcPr>
          <w:p>
            <w:r>
              <w:rPr>
                <w:b w:val="false"/>
                <w:bCs w:val="false"/>
                <w:color w:val="000000"/>
                <w:sz w:val="20"/>
                <w:szCs w:val="20"/>
              </w:rPr>
              <w:t xml:space="preserve">Medio — reescritura de secciones</w:t>
            </w:r>
          </w:p>
        </w:tc>
      </w:tr>
      <w:tr>
        <w:tc>
          <w:tcPr>
            <w:tcW w:type="dxa" w:w="900"/>
            <w:tcMar>
              <w:top w:type="dxa" w:w="100"/>
              <w:left w:type="dxa" w:w="120"/>
              <w:bottom w:type="dxa" w:w="100"/>
              <w:right w:type="dxa" w:w="120"/>
            </w:tcMar>
          </w:tcPr>
          <w:p>
            <w:r>
              <w:rPr>
                <w:b/>
                <w:bCs/>
                <w:color w:val="000000"/>
                <w:sz w:val="20"/>
                <w:szCs w:val="20"/>
              </w:rPr>
              <w:t xml:space="preserve">P1</w:t>
            </w:r>
          </w:p>
        </w:tc>
        <w:tc>
          <w:tcPr>
            <w:tcW w:type="dxa" w:w="3600"/>
            <w:tcMar>
              <w:top w:type="dxa" w:w="100"/>
              <w:left w:type="dxa" w:w="120"/>
              <w:bottom w:type="dxa" w:w="100"/>
              <w:right w:type="dxa" w:w="120"/>
            </w:tcMar>
          </w:tcPr>
          <w:p>
            <w:r>
              <w:rPr>
                <w:b w:val="false"/>
                <w:bCs w:val="false"/>
                <w:color w:val="000000"/>
                <w:sz w:val="20"/>
                <w:szCs w:val="20"/>
              </w:rPr>
              <w:t xml:space="preserve">Prueba social anónima (sin nombre, cargo ni logo verificable)</w:t>
            </w:r>
          </w:p>
        </w:tc>
        <w:tc>
          <w:tcPr>
            <w:tcW w:type="dxa" w:w="3600"/>
            <w:tcMar>
              <w:top w:type="dxa" w:w="100"/>
              <w:left w:type="dxa" w:w="120"/>
              <w:bottom w:type="dxa" w:w="100"/>
              <w:right w:type="dxa" w:w="120"/>
            </w:tcMar>
          </w:tcPr>
          <w:p>
            <w:r>
              <w:rPr>
                <w:b w:val="false"/>
                <w:bCs w:val="false"/>
                <w:color w:val="000000"/>
                <w:sz w:val="20"/>
                <w:szCs w:val="20"/>
              </w:rPr>
              <w:t xml:space="preserve">El ICP exigente es el más propenso a notar la brecha entre discurso y evidencia</w:t>
            </w:r>
          </w:p>
        </w:tc>
        <w:tc>
          <w:tcPr>
            <w:tcW w:type="dxa" w:w="1900"/>
            <w:tcMar>
              <w:top w:type="dxa" w:w="100"/>
              <w:left w:type="dxa" w:w="120"/>
              <w:bottom w:type="dxa" w:w="100"/>
              <w:right w:type="dxa" w:w="120"/>
            </w:tcMar>
          </w:tcPr>
          <w:p>
            <w:r>
              <w:rPr>
                <w:b w:val="false"/>
                <w:bCs w:val="false"/>
                <w:color w:val="000000"/>
                <w:sz w:val="20"/>
                <w:szCs w:val="20"/>
              </w:rPr>
              <w:t xml:space="preserve">Bajo/medio — conseguir permiso de 2-3 clientes</w:t>
            </w:r>
          </w:p>
        </w:tc>
      </w:tr>
      <w:tr>
        <w:tc>
          <w:tcPr>
            <w:tcW w:type="dxa" w:w="900"/>
            <w:tcMar>
              <w:top w:type="dxa" w:w="100"/>
              <w:left w:type="dxa" w:w="120"/>
              <w:bottom w:type="dxa" w:w="100"/>
              <w:right w:type="dxa" w:w="120"/>
            </w:tcMar>
          </w:tcPr>
          <w:p>
            <w:r>
              <w:rPr>
                <w:b/>
                <w:bCs/>
                <w:color w:val="000000"/>
                <w:sz w:val="20"/>
                <w:szCs w:val="20"/>
              </w:rPr>
              <w:t xml:space="preserve">P2</w:t>
            </w:r>
          </w:p>
        </w:tc>
        <w:tc>
          <w:tcPr>
            <w:tcW w:type="dxa" w:w="3600"/>
            <w:tcMar>
              <w:top w:type="dxa" w:w="100"/>
              <w:left w:type="dxa" w:w="120"/>
              <w:bottom w:type="dxa" w:w="100"/>
              <w:right w:type="dxa" w:w="120"/>
            </w:tcMar>
          </w:tcPr>
          <w:p>
            <w:r>
              <w:rPr>
                <w:b w:val="false"/>
                <w:bCs w:val="false"/>
                <w:color w:val="000000"/>
                <w:sz w:val="20"/>
                <w:szCs w:val="20"/>
              </w:rPr>
              <w:t xml:space="preserve">"Cupos limitados" y postura "Exigente" sin mecanismo de selección visible</w:t>
            </w:r>
          </w:p>
        </w:tc>
        <w:tc>
          <w:tcPr>
            <w:tcW w:type="dxa" w:w="3600"/>
            <w:tcMar>
              <w:top w:type="dxa" w:w="100"/>
              <w:left w:type="dxa" w:w="120"/>
              <w:bottom w:type="dxa" w:w="100"/>
              <w:right w:type="dxa" w:w="120"/>
            </w:tcMar>
          </w:tcPr>
          <w:p>
            <w:r>
              <w:rPr>
                <w:b w:val="false"/>
                <w:bCs w:val="false"/>
                <w:color w:val="000000"/>
                <w:sz w:val="20"/>
                <w:szCs w:val="20"/>
              </w:rPr>
              <w:t xml:space="preserve">La escasez y exclusividad declaradas no se sienten reales sin un proceso explicado</w:t>
            </w:r>
          </w:p>
        </w:tc>
        <w:tc>
          <w:tcPr>
            <w:tcW w:type="dxa" w:w="1900"/>
            <w:tcMar>
              <w:top w:type="dxa" w:w="100"/>
              <w:left w:type="dxa" w:w="120"/>
              <w:bottom w:type="dxa" w:w="100"/>
              <w:right w:type="dxa" w:w="120"/>
            </w:tcMar>
          </w:tcPr>
          <w:p>
            <w:r>
              <w:rPr>
                <w:b w:val="false"/>
                <w:bCs w:val="false"/>
                <w:color w:val="000000"/>
                <w:sz w:val="20"/>
                <w:szCs w:val="20"/>
              </w:rPr>
              <w:t xml:space="preserve">Bajo — explicar el mecanismo en copy</w:t>
            </w:r>
          </w:p>
        </w:tc>
      </w:tr>
      <w:tr>
        <w:tc>
          <w:tcPr>
            <w:tcW w:type="dxa" w:w="900"/>
            <w:tcMar>
              <w:top w:type="dxa" w:w="100"/>
              <w:left w:type="dxa" w:w="120"/>
              <w:bottom w:type="dxa" w:w="100"/>
              <w:right w:type="dxa" w:w="120"/>
            </w:tcMar>
          </w:tcPr>
          <w:p>
            <w:r>
              <w:rPr>
                <w:b/>
                <w:bCs/>
                <w:color w:val="000000"/>
                <w:sz w:val="20"/>
                <w:szCs w:val="20"/>
              </w:rPr>
              <w:t xml:space="preserve">P2</w:t>
            </w:r>
          </w:p>
        </w:tc>
        <w:tc>
          <w:tcPr>
            <w:tcW w:type="dxa" w:w="3600"/>
            <w:tcMar>
              <w:top w:type="dxa" w:w="100"/>
              <w:left w:type="dxa" w:w="120"/>
              <w:bottom w:type="dxa" w:w="100"/>
              <w:right w:type="dxa" w:w="120"/>
            </w:tcMar>
          </w:tcPr>
          <w:p>
            <w:r>
              <w:rPr>
                <w:b w:val="false"/>
                <w:bCs w:val="false"/>
                <w:color w:val="000000"/>
                <w:sz w:val="20"/>
                <w:szCs w:val="20"/>
              </w:rPr>
              <w:t xml:space="preserve">Erratas en piezas de marca ("and", "qué" por "que", "improvisacion")</w:t>
            </w:r>
          </w:p>
        </w:tc>
        <w:tc>
          <w:tcPr>
            <w:tcW w:type="dxa" w:w="3600"/>
            <w:tcMar>
              <w:top w:type="dxa" w:w="100"/>
              <w:left w:type="dxa" w:w="120"/>
              <w:bottom w:type="dxa" w:w="100"/>
              <w:right w:type="dxa" w:w="120"/>
            </w:tcMar>
          </w:tcPr>
          <w:p>
            <w:r>
              <w:rPr>
                <w:b w:val="false"/>
                <w:bCs w:val="false"/>
                <w:color w:val="000000"/>
                <w:sz w:val="20"/>
                <w:szCs w:val="20"/>
              </w:rPr>
              <w:t xml:space="preserve">Contradice la postura "profesional, directa, exigente" que reclama la marca</w:t>
            </w:r>
          </w:p>
        </w:tc>
        <w:tc>
          <w:tcPr>
            <w:tcW w:type="dxa" w:w="1900"/>
            <w:tcMar>
              <w:top w:type="dxa" w:w="100"/>
              <w:left w:type="dxa" w:w="120"/>
              <w:bottom w:type="dxa" w:w="100"/>
              <w:right w:type="dxa" w:w="120"/>
            </w:tcMar>
          </w:tcPr>
          <w:p>
            <w:r>
              <w:rPr>
                <w:b w:val="false"/>
                <w:bCs w:val="false"/>
                <w:color w:val="000000"/>
                <w:sz w:val="20"/>
                <w:szCs w:val="20"/>
              </w:rPr>
              <w:t xml:space="preserve">Muy bajo — 15 min de corrección</w:t>
            </w:r>
          </w:p>
        </w:tc>
      </w:tr>
      <w:tr>
        <w:tc>
          <w:tcPr>
            <w:tcW w:type="dxa" w:w="900"/>
            <w:tcMar>
              <w:top w:type="dxa" w:w="100"/>
              <w:left w:type="dxa" w:w="120"/>
              <w:bottom w:type="dxa" w:w="100"/>
              <w:right w:type="dxa" w:w="120"/>
            </w:tcMar>
          </w:tcPr>
          <w:p>
            <w:r>
              <w:rPr>
                <w:b/>
                <w:bCs/>
                <w:color w:val="000000"/>
                <w:sz w:val="20"/>
                <w:szCs w:val="20"/>
              </w:rPr>
              <w:t xml:space="preserve">P2</w:t>
            </w:r>
          </w:p>
        </w:tc>
        <w:tc>
          <w:tcPr>
            <w:tcW w:type="dxa" w:w="3600"/>
            <w:tcMar>
              <w:top w:type="dxa" w:w="100"/>
              <w:left w:type="dxa" w:w="120"/>
              <w:bottom w:type="dxa" w:w="100"/>
              <w:right w:type="dxa" w:w="120"/>
            </w:tcMar>
          </w:tcPr>
          <w:p>
            <w:r>
              <w:rPr>
                <w:b w:val="false"/>
                <w:bCs w:val="false"/>
                <w:color w:val="000000"/>
                <w:sz w:val="20"/>
                <w:szCs w:val="20"/>
              </w:rPr>
              <w:t xml:space="preserve">/portafolio mezcla audiencia de inversionista y de cliente</w:t>
            </w:r>
          </w:p>
        </w:tc>
        <w:tc>
          <w:tcPr>
            <w:tcW w:type="dxa" w:w="3600"/>
            <w:tcMar>
              <w:top w:type="dxa" w:w="100"/>
              <w:left w:type="dxa" w:w="120"/>
              <w:bottom w:type="dxa" w:w="100"/>
              <w:right w:type="dxa" w:w="120"/>
            </w:tcMar>
          </w:tcPr>
          <w:p>
            <w:r>
              <w:rPr>
                <w:b w:val="false"/>
                <w:bCs w:val="false"/>
                <w:color w:val="000000"/>
                <w:sz w:val="20"/>
                <w:szCs w:val="20"/>
              </w:rPr>
              <w:t xml:space="preserve">CTAs de cliente en una página con ask de fundraising</w:t>
            </w:r>
          </w:p>
        </w:tc>
        <w:tc>
          <w:tcPr>
            <w:tcW w:type="dxa" w:w="1900"/>
            <w:tcMar>
              <w:top w:type="dxa" w:w="100"/>
              <w:left w:type="dxa" w:w="120"/>
              <w:bottom w:type="dxa" w:w="100"/>
              <w:right w:type="dxa" w:w="120"/>
            </w:tcMar>
          </w:tcPr>
          <w:p>
            <w:r>
              <w:rPr>
                <w:b w:val="false"/>
                <w:bCs w:val="false"/>
                <w:color w:val="000000"/>
                <w:sz w:val="20"/>
                <w:szCs w:val="20"/>
              </w:rPr>
              <w:t xml:space="preserve">Bajo — decisión de audiencia + ajuste de CTAs</w:t>
            </w:r>
          </w:p>
        </w:tc>
      </w:tr>
    </w:tbl>
    <w:p>
      <w:pPr>
        <w:pStyle w:val="Heading1"/>
        <w:spacing w:after="200" w:before="400"/>
      </w:pPr>
      <w:r>
        <w:rPr>
          <w:b/>
          <w:bCs/>
          <w:color w:val="6939E2"/>
        </w:rPr>
        <w:t xml:space="preserve">6. Recomendación</w:t>
      </w:r>
    </w:p>
    <w:p>
      <w:pPr>
        <w:pStyle w:val="ListParagraph"/>
        <w:numPr>
          <w:ilvl w:val="0"/>
          <w:numId w:val="1"/>
        </w:numPr>
        <w:spacing w:after="90"/>
      </w:pPr>
      <w:r>
        <w:rPr>
          <w:b/>
          <w:bCs/>
        </w:rPr>
        <w:t xml:space="preserve">Sobre el hallazgo 8 (brecha sitio vs. matriz interna) — nuevo, máxima prioridad: </w:t>
      </w:r>
      <w:r>
        <w:t xml:space="preserve">Decisión de negocio, no de copy: confirmar si el esquema de fee por hitos y los nombres de los 5 paquetes ya son la oferta real operando, o si siguen siendo exploratorios. Si ya operan así, actualizar la Matriz IA General para que vuelva a ser la fuente de verdad única que dice ser. Si todavía no, suavizar el FAQ de /services para no describir un mecanismo como si ya estuviera definido con cada cliente.</w:t>
      </w:r>
    </w:p>
    <w:p>
      <w:pPr>
        <w:pStyle w:val="ListParagraph"/>
        <w:numPr>
          <w:ilvl w:val="0"/>
          <w:numId w:val="1"/>
        </w:numPr>
        <w:spacing w:after="90"/>
      </w:pPr>
      <w:r>
        <w:rPr>
          <w:b/>
          <w:bCs/>
        </w:rPr>
        <w:t xml:space="preserve">Sobre el hallazgo 1 (ICP contradictorio): </w:t>
      </w:r>
      <w:r>
        <w:t xml:space="preserve">Decisión de negocio primero: ¿Fundamentos y Validación son parte del embudo principal o un producto secundario de captación temprana? Esa respuesta determina cómo se reescribe el filtro. Patrón a replicar (EOS): declarar las dos audiencias explícitamente dentro del mismo flujo calificador, en vez de dejar que el filtro excluya a una de ellas antes de llegar a los paquetes.</w:t>
      </w:r>
    </w:p>
    <w:p>
      <w:pPr>
        <w:pStyle w:val="ListParagraph"/>
        <w:numPr>
          <w:ilvl w:val="0"/>
          <w:numId w:val="1"/>
        </w:numPr>
        <w:spacing w:after="90"/>
      </w:pPr>
      <w:r>
        <w:rPr>
          <w:b/>
          <w:bCs/>
        </w:rPr>
        <w:t xml:space="preserve">Sobre el hallazgo 2 (puertas laterales): </w:t>
      </w:r>
      <w:r>
        <w:t xml:space="preserve">Definir una sola puerta de entrada calificada. Opción A: quitar "Agenda reunión" (link directo a cal.com) de /contacto y dejar solo "Agenda tu llamada" (wizard). Opción B: mantener WhatsApp pero limitarlo a preguntas puntuales, no a "revisar tu caso". Patrón a replicar (30X y EOS): un único CTA de conversión repetido en todo el sitio, sin botón flotante ni link paralelo compitiendo.</w:t>
      </w:r>
    </w:p>
    <w:p>
      <w:pPr>
        <w:pStyle w:val="ListParagraph"/>
        <w:numPr>
          <w:ilvl w:val="0"/>
          <w:numId w:val="1"/>
        </w:numPr>
        <w:spacing w:after="90"/>
      </w:pPr>
      <w:r>
        <w:rPr>
          <w:b/>
          <w:bCs/>
        </w:rPr>
        <w:t xml:space="preserve">Sobre el hallazgo 3 (promesa de 3 minutos): </w:t>
      </w:r>
      <w:r>
        <w:t xml:space="preserve">Corto plazo: ajustar la promesa a algo realista, o mejor, reencuadrar el paso como "aplicación" en vez de "formulario rápido" (patrón 30X) para que la fricción se perciba como selectividad y no como incumplimiento. Mediano plazo: mostrarle al usuario una lectura de negocio (qué/por qué/para qué, no el score interno de ruteo) al terminar el wizard, como hace el Organizational Checkup de EOS.</w:t>
      </w:r>
    </w:p>
    <w:p>
      <w:pPr>
        <w:pStyle w:val="ListParagraph"/>
        <w:numPr>
          <w:ilvl w:val="0"/>
          <w:numId w:val="1"/>
        </w:numPr>
        <w:spacing w:after="90"/>
      </w:pPr>
      <w:r>
        <w:rPr>
          <w:b/>
          <w:bCs/>
        </w:rPr>
        <w:t xml:space="preserve">Sobre el hallazgo 4 (duplicación Home/Services): </w:t>
      </w:r>
      <w:r>
        <w:t xml:space="preserve">Redefinir el propósito de cada página: Home = versión corta (hero, problema, una prueba social, CTA a Services y a Diagnóstico). Services = versión completa (metodología detallada, paquetes, precios, FAQ operativo). Eliminar de una de las dos páginas los bloques de Diferencial y Filtro completos — no deben repetirse en ambas.</w:t>
      </w:r>
    </w:p>
    <w:p>
      <w:pPr>
        <w:pStyle w:val="ListParagraph"/>
        <w:numPr>
          <w:ilvl w:val="0"/>
          <w:numId w:val="1"/>
        </w:numPr>
        <w:spacing w:after="90"/>
      </w:pPr>
      <w:r>
        <w:rPr>
          <w:b/>
          <w:bCs/>
        </w:rPr>
        <w:t xml:space="preserve">Sobre el hallazgo 5 (prueba social): </w:t>
      </w:r>
      <w:r>
        <w:t xml:space="preserve">Usar los tres casos ya documentados en la matriz interna (TerraTravel, Facial Fitness, Neomech) con nombre y detalle real de la intervención, en vez de "Empresa B2B en Medellín". Priorizar conseguir permiso explícito antes de invertir en tráfico pagado.</w:t>
      </w:r>
    </w:p>
    <w:p>
      <w:pPr>
        <w:pStyle w:val="ListParagraph"/>
        <w:numPr>
          <w:ilvl w:val="0"/>
          <w:numId w:val="1"/>
        </w:numPr>
        <w:spacing w:after="90"/>
      </w:pPr>
      <w:r>
        <w:rPr>
          <w:b/>
          <w:bCs/>
        </w:rPr>
        <w:t xml:space="preserve">Sobre el hallazgo 6 (erratas): </w:t>
      </w:r>
      <w:r>
        <w:t xml:space="preserve">Pasada de corrección de estilo sobre el archivo de contenido — 15 minutos, cero riesgo técnico.</w:t>
      </w:r>
    </w:p>
    <w:p>
      <w:pPr>
        <w:pStyle w:val="ListParagraph"/>
        <w:numPr>
          <w:ilvl w:val="0"/>
          <w:numId w:val="1"/>
        </w:numPr>
        <w:spacing w:after="90"/>
      </w:pPr>
      <w:r>
        <w:rPr>
          <w:b/>
          <w:bCs/>
        </w:rPr>
        <w:t xml:space="preserve">Sobre el hallazgo 7 (portafolio): </w:t>
      </w:r>
      <w:r>
        <w:t xml:space="preserve">Decidir la audiencia real de /portafolio y ajustar los CTAs en consecuencia. Considerar además que RiBuzz opera hoy como persona natural con entidad corporativa pendiente de validar — vale resolver esa base antes de exponer una página de fundraising a inversionistas externos.</w:t>
      </w:r>
    </w:p>
    <w:p>
      <w:pPr>
        <w:pStyle w:val="ListParagraph"/>
        <w:numPr>
          <w:ilvl w:val="0"/>
          <w:numId w:val="1"/>
        </w:numPr>
        <w:spacing w:after="90"/>
      </w:pPr>
      <w:r>
        <w:rPr>
          <w:b/>
          <w:bCs/>
        </w:rPr>
        <w:t xml:space="preserve">Movimiento estructural adicional (referente EOS, filtrado): </w:t>
      </w:r>
      <w:r>
        <w:t xml:space="preserve">Evaluar dar más valor gratuito en /regalos, pero limitado al nivel de QUÉ/POR QUÉ (diagnóstico, lectura de contexto), nunca al CÓMO completo de ejecución — la caja de "deslizar para abrir" con 2 PDFs puede mejorarse sin cruzar la regla de marca que protege el acompañamiento pagado.</w:t>
      </w:r>
    </w:p>
    <w:p>
      <w:pPr>
        <w:pStyle w:val="ListParagraph"/>
        <w:numPr>
          <w:ilvl w:val="0"/>
          <w:numId w:val="1"/>
        </w:numPr>
        <w:spacing w:after="90"/>
      </w:pPr>
      <w:r>
        <w:rPr>
          <w:b/>
          <w:bCs/>
        </w:rPr>
        <w:t xml:space="preserve">Movimiento estructural adicional (referente Growth Rockstar, confirmado por la matriz): </w:t>
      </w:r>
      <w:r>
        <w:t xml:space="preserve">Explicar el mecanismo real detrás de "cupos limitados" en Sistema y Expansión usando el criterio que ya existe internamente (WTP, dolor abordable, fit, coachability) — no hay que inventar nada nuevo, solo hacerlo visible.</w:t>
      </w:r>
    </w:p>
    <w:p>
      <w:pPr>
        <w:pStyle w:val="Heading1"/>
        <w:spacing w:after="200" w:before="400"/>
      </w:pPr>
      <w:r>
        <w:rPr>
          <w:b/>
          <w:bCs/>
          <w:color w:val="6939E2"/>
        </w:rPr>
        <w:t xml:space="preserve">7. Siguiente paso</w:t>
      </w:r>
    </w:p>
    <w:p>
      <w:pPr>
        <w:spacing w:after="160"/>
      </w:pPr>
      <w:r>
        <w:t xml:space="preserve">Empezar por el hallazgo 8: es una decisión de negocio pura (canonizar o suavizar) y condiciona cómo se resuelven los hallazgos 1 y 2, que son los que están filtrando o desviando ingresos hoy mismo. Ninguno de los tres requiere tocar la lógica de scoring ni el backend ya construido. Los hallazgos 4 y 6 se pueden implementar en el mismo movimiento por ser edición directa de copy y JSX, bajo riesgo.</w:t>
      </w:r>
    </w:p>
    <w:p>
      <w:pPr>
        <w:spacing w:after="160"/>
      </w:pPr>
      <w:r>
        <w:rPr>
          <w:i/>
          <w:iCs/>
        </w:rPr>
        <w:t xml:space="preserve">Antes de tocar código: falta una decisión explícita sobre si Fundamentos/Validación (etapas pre-venta) son parte del embudo principal de captación o un producto secundario, y si el esquema de paquetes y hitos ya es la oferta real operando o todavía es exploratorio — ambas respuestas cambian qué se escribe en el sitio y qué se actualiza en la Matriz IA General.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2026-07-12T00:27:17.551Z</dcterms:created>
  <dcterms:modified xsi:type="dcterms:W3CDTF">2026-07-12T00:27:17.551Z</dcterms:modified>
</cp:coreProperties>
</file>

<file path=docProps/custom.xml><?xml version="1.0" encoding="utf-8"?>
<Properties xmlns="http://schemas.openxmlformats.org/officeDocument/2006/custom-properties" xmlns:vt="http://schemas.openxmlformats.org/officeDocument/2006/docPropsVTypes"/>
</file>