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D550D"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b/>
          <w:bCs/>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Обоснование выбора базисной финансовой точки (BFP) для методологии MOS</w:t>
      </w:r>
    </w:p>
    <w:p w14:paraId="3797BCD3" w14:textId="77777777" w:rsidR="00B754AE" w:rsidRPr="00546D98" w:rsidRDefault="00B754AE"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i/>
          <w:iCs/>
          <w:color w:val="0F1115"/>
          <w:kern w:val="0"/>
          <w:sz w:val="28"/>
          <w:szCs w:val="28"/>
          <w:lang w:eastAsia="ru-RU"/>
          <w14:ligatures w14:val="none"/>
        </w:rPr>
        <w:t>Автор: Владимир Мокроусов</w:t>
      </w:r>
    </w:p>
    <w:p w14:paraId="77028AE7" w14:textId="1BFA9F04" w:rsidR="00B754AE" w:rsidRPr="00546D98" w:rsidRDefault="00B754AE"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p>
    <w:p w14:paraId="37548E64"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Введение</w:t>
      </w:r>
    </w:p>
    <w:p w14:paraId="41E774C9"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 xml:space="preserve">Методология MOS (Многомерное координатное пространство) предлагает систему координат для измерения стоимости, независимую от колебаний валютных курсов и инфляции. В рамках MOS выделяются два уровня: аналитический (IMS — International </w:t>
      </w:r>
      <w:proofErr w:type="spellStart"/>
      <w:r w:rsidRPr="00546D98">
        <w:rPr>
          <w:rFonts w:ascii="Times New Roman" w:eastAsia="Times New Roman" w:hAnsi="Times New Roman" w:cs="Times New Roman"/>
          <w:color w:val="0F1115"/>
          <w:kern w:val="0"/>
          <w:sz w:val="28"/>
          <w:szCs w:val="28"/>
          <w:lang w:eastAsia="ru-RU"/>
          <w14:ligatures w14:val="none"/>
        </w:rPr>
        <w:t>Monetary</w:t>
      </w:r>
      <w:proofErr w:type="spellEnd"/>
      <w:r w:rsidRPr="00546D98">
        <w:rPr>
          <w:rFonts w:ascii="Times New Roman" w:eastAsia="Times New Roman" w:hAnsi="Times New Roman" w:cs="Times New Roman"/>
          <w:color w:val="0F1115"/>
          <w:kern w:val="0"/>
          <w:sz w:val="28"/>
          <w:szCs w:val="28"/>
          <w:lang w:eastAsia="ru-RU"/>
          <w14:ligatures w14:val="none"/>
        </w:rPr>
        <w:t xml:space="preserve"> Standard) и институциональный (IMB — International </w:t>
      </w:r>
      <w:proofErr w:type="spellStart"/>
      <w:r w:rsidRPr="00546D98">
        <w:rPr>
          <w:rFonts w:ascii="Times New Roman" w:eastAsia="Times New Roman" w:hAnsi="Times New Roman" w:cs="Times New Roman"/>
          <w:color w:val="0F1115"/>
          <w:kern w:val="0"/>
          <w:sz w:val="28"/>
          <w:szCs w:val="28"/>
          <w:lang w:eastAsia="ru-RU"/>
          <w14:ligatures w14:val="none"/>
        </w:rPr>
        <w:t>Monetary</w:t>
      </w:r>
      <w:proofErr w:type="spellEnd"/>
      <w:r w:rsidRPr="00546D98">
        <w:rPr>
          <w:rFonts w:ascii="Times New Roman" w:eastAsia="Times New Roman" w:hAnsi="Times New Roman" w:cs="Times New Roman"/>
          <w:color w:val="0F1115"/>
          <w:kern w:val="0"/>
          <w:sz w:val="28"/>
          <w:szCs w:val="28"/>
          <w:lang w:eastAsia="ru-RU"/>
          <w14:ligatures w14:val="none"/>
        </w:rPr>
        <w:t xml:space="preserve"> </w:t>
      </w:r>
      <w:proofErr w:type="spellStart"/>
      <w:r w:rsidRPr="00546D98">
        <w:rPr>
          <w:rFonts w:ascii="Times New Roman" w:eastAsia="Times New Roman" w:hAnsi="Times New Roman" w:cs="Times New Roman"/>
          <w:color w:val="0F1115"/>
          <w:kern w:val="0"/>
          <w:sz w:val="28"/>
          <w:szCs w:val="28"/>
          <w:lang w:eastAsia="ru-RU"/>
          <w14:ligatures w14:val="none"/>
        </w:rPr>
        <w:t>Benchmark</w:t>
      </w:r>
      <w:proofErr w:type="spellEnd"/>
      <w:r w:rsidRPr="00546D98">
        <w:rPr>
          <w:rFonts w:ascii="Times New Roman" w:eastAsia="Times New Roman" w:hAnsi="Times New Roman" w:cs="Times New Roman"/>
          <w:color w:val="0F1115"/>
          <w:kern w:val="0"/>
          <w:sz w:val="28"/>
          <w:szCs w:val="28"/>
          <w:lang w:eastAsia="ru-RU"/>
          <w14:ligatures w14:val="none"/>
        </w:rPr>
        <w:t>). </w:t>
      </w:r>
      <w:r w:rsidRPr="00546D98">
        <w:rPr>
          <w:rFonts w:ascii="Times New Roman" w:eastAsia="Times New Roman" w:hAnsi="Times New Roman" w:cs="Times New Roman"/>
          <w:b/>
          <w:bCs/>
          <w:color w:val="0F1115"/>
          <w:kern w:val="0"/>
          <w:sz w:val="28"/>
          <w:szCs w:val="28"/>
          <w:lang w:eastAsia="ru-RU"/>
          <w14:ligatures w14:val="none"/>
        </w:rPr>
        <w:t>IMB</w:t>
      </w:r>
      <w:r w:rsidRPr="00546D98">
        <w:rPr>
          <w:rFonts w:ascii="Times New Roman" w:eastAsia="Times New Roman" w:hAnsi="Times New Roman" w:cs="Times New Roman"/>
          <w:color w:val="0F1115"/>
          <w:kern w:val="0"/>
          <w:sz w:val="28"/>
          <w:szCs w:val="28"/>
          <w:lang w:eastAsia="ru-RU"/>
          <w14:ligatures w14:val="none"/>
        </w:rPr>
        <w:t> представляет собой договорную единицу счёта с фиксированными параметрами, предназначенную для использования в контрактах, биржевых индикаторах и макроэкономических стандартах.</w:t>
      </w:r>
    </w:p>
    <w:p w14:paraId="6778106B"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Ключевым элементом этой системы является </w:t>
      </w:r>
      <w:r w:rsidRPr="00546D98">
        <w:rPr>
          <w:rFonts w:ascii="Times New Roman" w:eastAsia="Times New Roman" w:hAnsi="Times New Roman" w:cs="Times New Roman"/>
          <w:b/>
          <w:bCs/>
          <w:color w:val="0F1115"/>
          <w:kern w:val="0"/>
          <w:sz w:val="28"/>
          <w:szCs w:val="28"/>
          <w:lang w:eastAsia="ru-RU"/>
          <w14:ligatures w14:val="none"/>
        </w:rPr>
        <w:t>базисная финансовая точка (BFP)</w:t>
      </w:r>
      <w:r w:rsidRPr="00546D98">
        <w:rPr>
          <w:rFonts w:ascii="Times New Roman" w:eastAsia="Times New Roman" w:hAnsi="Times New Roman" w:cs="Times New Roman"/>
          <w:color w:val="0F1115"/>
          <w:kern w:val="0"/>
          <w:sz w:val="28"/>
          <w:szCs w:val="28"/>
          <w:lang w:eastAsia="ru-RU"/>
          <w14:ligatures w14:val="none"/>
        </w:rPr>
        <w:t> — момент времени, относительно которого фиксируются все начальные соотношения между валютами и эталонной единицей IMB. BFP определяется пересечением временной координаты и валютно-активной координаты (IMB, реализованный через выбранный репер).</w:t>
      </w:r>
    </w:p>
    <w:p w14:paraId="041ACB11"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Выбор BFP не является технической деталью. Это методологическое ядро, определяющее «начало отсчёта» всей системы координат. От того, насколько обоснованно выбрана эта точка, зависит корректность всех последующих сравнений.</w:t>
      </w:r>
    </w:p>
    <w:p w14:paraId="12ECF7C3"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В настоящем документе обосновывается, почему </w:t>
      </w:r>
      <w:r w:rsidRPr="00546D98">
        <w:rPr>
          <w:rFonts w:ascii="Times New Roman" w:eastAsia="Times New Roman" w:hAnsi="Times New Roman" w:cs="Times New Roman"/>
          <w:b/>
          <w:bCs/>
          <w:color w:val="0F1115"/>
          <w:kern w:val="0"/>
          <w:sz w:val="28"/>
          <w:szCs w:val="28"/>
          <w:lang w:eastAsia="ru-RU"/>
          <w14:ligatures w14:val="none"/>
        </w:rPr>
        <w:t>январь 2014 года</w:t>
      </w:r>
      <w:r w:rsidRPr="00546D98">
        <w:rPr>
          <w:rFonts w:ascii="Times New Roman" w:eastAsia="Times New Roman" w:hAnsi="Times New Roman" w:cs="Times New Roman"/>
          <w:color w:val="0F1115"/>
          <w:kern w:val="0"/>
          <w:sz w:val="28"/>
          <w:szCs w:val="28"/>
          <w:lang w:eastAsia="ru-RU"/>
          <w14:ligatures w14:val="none"/>
        </w:rPr>
        <w:t> представляет собой оптимальную дату для фиксации BFP для институционального уровня MOS (IMB), превосходящую альтернативные периоды по трём ключевым параметрам: </w:t>
      </w:r>
      <w:r w:rsidRPr="00546D98">
        <w:rPr>
          <w:rFonts w:ascii="Times New Roman" w:eastAsia="Times New Roman" w:hAnsi="Times New Roman" w:cs="Times New Roman"/>
          <w:b/>
          <w:bCs/>
          <w:color w:val="0F1115"/>
          <w:kern w:val="0"/>
          <w:sz w:val="28"/>
          <w:szCs w:val="28"/>
          <w:lang w:eastAsia="ru-RU"/>
          <w14:ligatures w14:val="none"/>
        </w:rPr>
        <w:t xml:space="preserve">институциональной </w:t>
      </w:r>
      <w:r w:rsidRPr="00546D98">
        <w:rPr>
          <w:rFonts w:ascii="Times New Roman" w:eastAsia="Times New Roman" w:hAnsi="Times New Roman" w:cs="Times New Roman"/>
          <w:b/>
          <w:bCs/>
          <w:color w:val="0F1115"/>
          <w:kern w:val="0"/>
          <w:sz w:val="28"/>
          <w:szCs w:val="28"/>
          <w:lang w:eastAsia="ru-RU"/>
          <w14:ligatures w14:val="none"/>
        </w:rPr>
        <w:lastRenderedPageBreak/>
        <w:t>предсказуемости</w:t>
      </w:r>
      <w:r w:rsidRPr="00546D98">
        <w:rPr>
          <w:rFonts w:ascii="Times New Roman" w:eastAsia="Times New Roman" w:hAnsi="Times New Roman" w:cs="Times New Roman"/>
          <w:color w:val="0F1115"/>
          <w:kern w:val="0"/>
          <w:sz w:val="28"/>
          <w:szCs w:val="28"/>
          <w:lang w:eastAsia="ru-RU"/>
          <w14:ligatures w14:val="none"/>
        </w:rPr>
        <w:t>, </w:t>
      </w:r>
      <w:r w:rsidRPr="00546D98">
        <w:rPr>
          <w:rFonts w:ascii="Times New Roman" w:eastAsia="Times New Roman" w:hAnsi="Times New Roman" w:cs="Times New Roman"/>
          <w:b/>
          <w:bCs/>
          <w:color w:val="0F1115"/>
          <w:kern w:val="0"/>
          <w:sz w:val="28"/>
          <w:szCs w:val="28"/>
          <w:lang w:eastAsia="ru-RU"/>
          <w14:ligatures w14:val="none"/>
        </w:rPr>
        <w:t>отсутствию структурных шоков</w:t>
      </w:r>
      <w:r w:rsidRPr="00546D98">
        <w:rPr>
          <w:rFonts w:ascii="Times New Roman" w:eastAsia="Times New Roman" w:hAnsi="Times New Roman" w:cs="Times New Roman"/>
          <w:color w:val="0F1115"/>
          <w:kern w:val="0"/>
          <w:sz w:val="28"/>
          <w:szCs w:val="28"/>
          <w:lang w:eastAsia="ru-RU"/>
          <w14:ligatures w14:val="none"/>
        </w:rPr>
        <w:t> и </w:t>
      </w:r>
      <w:r w:rsidRPr="00546D98">
        <w:rPr>
          <w:rFonts w:ascii="Times New Roman" w:eastAsia="Times New Roman" w:hAnsi="Times New Roman" w:cs="Times New Roman"/>
          <w:b/>
          <w:bCs/>
          <w:color w:val="0F1115"/>
          <w:kern w:val="0"/>
          <w:sz w:val="28"/>
          <w:szCs w:val="28"/>
          <w:lang w:eastAsia="ru-RU"/>
          <w14:ligatures w14:val="none"/>
        </w:rPr>
        <w:t>документально подтверждённому минимуму волатильности</w:t>
      </w:r>
      <w:r w:rsidRPr="00546D98">
        <w:rPr>
          <w:rFonts w:ascii="Times New Roman" w:eastAsia="Times New Roman" w:hAnsi="Times New Roman" w:cs="Times New Roman"/>
          <w:color w:val="0F1115"/>
          <w:kern w:val="0"/>
          <w:sz w:val="28"/>
          <w:szCs w:val="28"/>
          <w:lang w:eastAsia="ru-RU"/>
          <w14:ligatures w14:val="none"/>
        </w:rPr>
        <w:t>.</w:t>
      </w:r>
    </w:p>
    <w:p w14:paraId="27E9AA3D"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1. Институциональная стабильность: пик эпохи «форвардного ориентирования»</w:t>
      </w:r>
    </w:p>
    <w:p w14:paraId="4A34BB0E"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Январь 2014 года стал моментом максимальной предсказуемости монетарной политики ведущих центральных банков. Согласно анализу Банка международных расчётов (BIS), с 2008 года четыре крупнейших центробанка (ФРС, ЕЦБ, Банк Англии, Банк Японии) внедрили политику «форвардного ориентирования» (</w:t>
      </w:r>
      <w:proofErr w:type="spellStart"/>
      <w:r w:rsidRPr="00546D98">
        <w:rPr>
          <w:rFonts w:ascii="Times New Roman" w:eastAsia="Times New Roman" w:hAnsi="Times New Roman" w:cs="Times New Roman"/>
          <w:color w:val="0F1115"/>
          <w:kern w:val="0"/>
          <w:sz w:val="28"/>
          <w:szCs w:val="28"/>
          <w:lang w:eastAsia="ru-RU"/>
          <w14:ligatures w14:val="none"/>
        </w:rPr>
        <w:t>forward</w:t>
      </w:r>
      <w:proofErr w:type="spellEnd"/>
      <w:r w:rsidRPr="00546D98">
        <w:rPr>
          <w:rFonts w:ascii="Times New Roman" w:eastAsia="Times New Roman" w:hAnsi="Times New Roman" w:cs="Times New Roman"/>
          <w:color w:val="0F1115"/>
          <w:kern w:val="0"/>
          <w:sz w:val="28"/>
          <w:szCs w:val="28"/>
          <w:lang w:eastAsia="ru-RU"/>
          <w14:ligatures w14:val="none"/>
        </w:rPr>
        <w:t xml:space="preserve"> </w:t>
      </w:r>
      <w:proofErr w:type="spellStart"/>
      <w:r w:rsidRPr="00546D98">
        <w:rPr>
          <w:rFonts w:ascii="Times New Roman" w:eastAsia="Times New Roman" w:hAnsi="Times New Roman" w:cs="Times New Roman"/>
          <w:color w:val="0F1115"/>
          <w:kern w:val="0"/>
          <w:sz w:val="28"/>
          <w:szCs w:val="28"/>
          <w:lang w:eastAsia="ru-RU"/>
          <w14:ligatures w14:val="none"/>
        </w:rPr>
        <w:t>guidance</w:t>
      </w:r>
      <w:proofErr w:type="spellEnd"/>
      <w:r w:rsidRPr="00546D98">
        <w:rPr>
          <w:rFonts w:ascii="Times New Roman" w:eastAsia="Times New Roman" w:hAnsi="Times New Roman" w:cs="Times New Roman"/>
          <w:color w:val="0F1115"/>
          <w:kern w:val="0"/>
          <w:sz w:val="28"/>
          <w:szCs w:val="28"/>
          <w:lang w:eastAsia="ru-RU"/>
          <w14:ligatures w14:val="none"/>
        </w:rPr>
        <w:t>), чтобы компенсировать невозможность дальнейшего снижения ставок.</w:t>
      </w:r>
    </w:p>
    <w:p w14:paraId="63F8DA35"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К началу 2014 года эта политика достигла своего институционального пика:</w:t>
      </w:r>
    </w:p>
    <w:p w14:paraId="5CD80017" w14:textId="77777777" w:rsidR="00247D28" w:rsidRPr="00546D98" w:rsidRDefault="00247D28" w:rsidP="00546D98">
      <w:pPr>
        <w:numPr>
          <w:ilvl w:val="0"/>
          <w:numId w:val="1"/>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ФРС</w:t>
      </w:r>
      <w:r w:rsidRPr="00546D98">
        <w:rPr>
          <w:rFonts w:ascii="Times New Roman" w:eastAsia="Times New Roman" w:hAnsi="Times New Roman" w:cs="Times New Roman"/>
          <w:color w:val="0F1115"/>
          <w:kern w:val="0"/>
          <w:sz w:val="28"/>
          <w:szCs w:val="28"/>
          <w:lang w:eastAsia="ru-RU"/>
          <w14:ligatures w14:val="none"/>
        </w:rPr>
        <w:t xml:space="preserve">: В декабре 2012 года перешла к количественным пороговым значениям (безработица </w:t>
      </w:r>
      <w:proofErr w:type="gramStart"/>
      <w:r w:rsidRPr="00546D98">
        <w:rPr>
          <w:rFonts w:ascii="Times New Roman" w:eastAsia="Times New Roman" w:hAnsi="Times New Roman" w:cs="Times New Roman"/>
          <w:color w:val="0F1115"/>
          <w:kern w:val="0"/>
          <w:sz w:val="28"/>
          <w:szCs w:val="28"/>
          <w:lang w:eastAsia="ru-RU"/>
          <w14:ligatures w14:val="none"/>
        </w:rPr>
        <w:t>&lt; 6</w:t>
      </w:r>
      <w:proofErr w:type="gramEnd"/>
      <w:r w:rsidRPr="00546D98">
        <w:rPr>
          <w:rFonts w:ascii="Times New Roman" w:eastAsia="Times New Roman" w:hAnsi="Times New Roman" w:cs="Times New Roman"/>
          <w:color w:val="0F1115"/>
          <w:kern w:val="0"/>
          <w:sz w:val="28"/>
          <w:szCs w:val="28"/>
          <w:lang w:eastAsia="ru-RU"/>
          <w14:ligatures w14:val="none"/>
        </w:rPr>
        <w:t xml:space="preserve">,5%, инфляция </w:t>
      </w:r>
      <w:proofErr w:type="gramStart"/>
      <w:r w:rsidRPr="00546D98">
        <w:rPr>
          <w:rFonts w:ascii="Times New Roman" w:eastAsia="Times New Roman" w:hAnsi="Times New Roman" w:cs="Times New Roman"/>
          <w:color w:val="0F1115"/>
          <w:kern w:val="0"/>
          <w:sz w:val="28"/>
          <w:szCs w:val="28"/>
          <w:lang w:eastAsia="ru-RU"/>
          <w14:ligatures w14:val="none"/>
        </w:rPr>
        <w:t>&lt; 2</w:t>
      </w:r>
      <w:proofErr w:type="gramEnd"/>
      <w:r w:rsidRPr="00546D98">
        <w:rPr>
          <w:rFonts w:ascii="Times New Roman" w:eastAsia="Times New Roman" w:hAnsi="Times New Roman" w:cs="Times New Roman"/>
          <w:color w:val="0F1115"/>
          <w:kern w:val="0"/>
          <w:sz w:val="28"/>
          <w:szCs w:val="28"/>
          <w:lang w:eastAsia="ru-RU"/>
          <w14:ligatures w14:val="none"/>
        </w:rPr>
        <w:t>,5%). В марте 2014 года, хотя порог по безработице уже был превышен, ФРС подтвердила приверженность удержанию ставок «на значительно долгое время» после окончания программы выкупа активов.</w:t>
      </w:r>
    </w:p>
    <w:p w14:paraId="65884E37" w14:textId="77777777" w:rsidR="00247D28" w:rsidRPr="00546D98" w:rsidRDefault="00247D28" w:rsidP="00546D98">
      <w:pPr>
        <w:numPr>
          <w:ilvl w:val="0"/>
          <w:numId w:val="1"/>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ЕЦБ</w:t>
      </w:r>
      <w:r w:rsidRPr="00546D98">
        <w:rPr>
          <w:rFonts w:ascii="Times New Roman" w:eastAsia="Times New Roman" w:hAnsi="Times New Roman" w:cs="Times New Roman"/>
          <w:color w:val="0F1115"/>
          <w:kern w:val="0"/>
          <w:sz w:val="28"/>
          <w:szCs w:val="28"/>
          <w:lang w:eastAsia="ru-RU"/>
          <w14:ligatures w14:val="none"/>
        </w:rPr>
        <w:t>: С июля 2013 года действовало качественное форвардное ориентирование с «мягкой» привязкой к среднесрочному прогнозу инфляции. По данным обзора ЕЦБ за апрель 2014 года, это привело к устойчивому снижению неопределённости и чувствительности рынков к макроэкономическим новостям.</w:t>
      </w:r>
    </w:p>
    <w:p w14:paraId="392D8858" w14:textId="77777777" w:rsidR="00247D28" w:rsidRPr="00546D98" w:rsidRDefault="00247D28" w:rsidP="00546D98">
      <w:pPr>
        <w:numPr>
          <w:ilvl w:val="0"/>
          <w:numId w:val="1"/>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Хотя 2014 год стал годом начала дивергенции политики ФРС и ЕЦБ, в январе эта дивергенция ещё не проявилась, и рынки находились в состоянии инерционного следования объявленным ранее ориентирам.</w:t>
      </w:r>
    </w:p>
    <w:p w14:paraId="22D4752F"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Значение для BFP</w:t>
      </w:r>
      <w:r w:rsidRPr="00546D98">
        <w:rPr>
          <w:rFonts w:ascii="Times New Roman" w:eastAsia="Times New Roman" w:hAnsi="Times New Roman" w:cs="Times New Roman"/>
          <w:color w:val="0F1115"/>
          <w:kern w:val="0"/>
          <w:sz w:val="28"/>
          <w:szCs w:val="28"/>
          <w:lang w:eastAsia="ru-RU"/>
          <w14:ligatures w14:val="none"/>
        </w:rPr>
        <w:t xml:space="preserve">: В этот период рыночные агенты обладали максимальной уверенностью в том, что никаких неожиданных изменений ставок не произойдёт в обозримом будущем. Это исключало один из главных </w:t>
      </w:r>
      <w:r w:rsidRPr="00546D98">
        <w:rPr>
          <w:rFonts w:ascii="Times New Roman" w:eastAsia="Times New Roman" w:hAnsi="Times New Roman" w:cs="Times New Roman"/>
          <w:color w:val="0F1115"/>
          <w:kern w:val="0"/>
          <w:sz w:val="28"/>
          <w:szCs w:val="28"/>
          <w:lang w:eastAsia="ru-RU"/>
          <w14:ligatures w14:val="none"/>
        </w:rPr>
        <w:lastRenderedPageBreak/>
        <w:t>источников валютной волатильности — спекулятивные игры на ожиданиях повышения ставок.</w:t>
      </w:r>
    </w:p>
    <w:p w14:paraId="4BA03E0D"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2. Фактический минимум волатильности: абсолютный рекорд</w:t>
      </w:r>
    </w:p>
    <w:p w14:paraId="5D79587B"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Январь 2014 года зафиксировал историческое дно волатильности на глобальных валютных рынках. Последующие годы, включая 2019-й, лишь приближались к этому уровню, но не превзошли его.</w:t>
      </w:r>
    </w:p>
    <w:p w14:paraId="134445C5"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 xml:space="preserve">Согласно данным Reuters и Deutsche Bank, в марте 2019 года волатильность упала до уровней, «невиданных с 2014 года». Аналитики Deutsche Bank и </w:t>
      </w:r>
      <w:proofErr w:type="spellStart"/>
      <w:r w:rsidRPr="00546D98">
        <w:rPr>
          <w:rFonts w:ascii="Times New Roman" w:eastAsia="Times New Roman" w:hAnsi="Times New Roman" w:cs="Times New Roman"/>
          <w:color w:val="0F1115"/>
          <w:kern w:val="0"/>
          <w:sz w:val="28"/>
          <w:szCs w:val="28"/>
          <w:lang w:eastAsia="ru-RU"/>
          <w14:ligatures w14:val="none"/>
        </w:rPr>
        <w:t>FXStreet</w:t>
      </w:r>
      <w:proofErr w:type="spellEnd"/>
      <w:r w:rsidRPr="00546D98">
        <w:rPr>
          <w:rFonts w:ascii="Times New Roman" w:eastAsia="Times New Roman" w:hAnsi="Times New Roman" w:cs="Times New Roman"/>
          <w:color w:val="0F1115"/>
          <w:kern w:val="0"/>
          <w:sz w:val="28"/>
          <w:szCs w:val="28"/>
          <w:lang w:eastAsia="ru-RU"/>
          <w14:ligatures w14:val="none"/>
        </w:rPr>
        <w:t xml:space="preserve"> подчёркивают, что в 2019 году рынки лишь стремились к тем низким уровням, которые были установлены в 2014 году, но столкнулись с новыми рисками (торговые войны США–Китай, </w:t>
      </w:r>
      <w:proofErr w:type="spellStart"/>
      <w:r w:rsidRPr="00546D98">
        <w:rPr>
          <w:rFonts w:ascii="Times New Roman" w:eastAsia="Times New Roman" w:hAnsi="Times New Roman" w:cs="Times New Roman"/>
          <w:color w:val="0F1115"/>
          <w:kern w:val="0"/>
          <w:sz w:val="28"/>
          <w:szCs w:val="28"/>
          <w:lang w:eastAsia="ru-RU"/>
          <w14:ligatures w14:val="none"/>
        </w:rPr>
        <w:t>Brexit</w:t>
      </w:r>
      <w:proofErr w:type="spellEnd"/>
      <w:r w:rsidRPr="00546D98">
        <w:rPr>
          <w:rFonts w:ascii="Times New Roman" w:eastAsia="Times New Roman" w:hAnsi="Times New Roman" w:cs="Times New Roman"/>
          <w:color w:val="0F1115"/>
          <w:kern w:val="0"/>
          <w:sz w:val="28"/>
          <w:szCs w:val="28"/>
          <w:lang w:eastAsia="ru-RU"/>
          <w14:ligatures w14:val="none"/>
        </w:rPr>
        <w:t>).</w:t>
      </w:r>
    </w:p>
    <w:p w14:paraId="3D355D4D"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В отличие от 2006 года, где низкая волатильность сочеталась с накоплением структурных дисбалансов (</w:t>
      </w:r>
      <w:proofErr w:type="spellStart"/>
      <w:r w:rsidRPr="00546D98">
        <w:rPr>
          <w:rFonts w:ascii="Times New Roman" w:eastAsia="Times New Roman" w:hAnsi="Times New Roman" w:cs="Times New Roman"/>
          <w:color w:val="0F1115"/>
          <w:kern w:val="0"/>
          <w:sz w:val="28"/>
          <w:szCs w:val="28"/>
          <w:lang w:eastAsia="ru-RU"/>
          <w14:ligatures w14:val="none"/>
        </w:rPr>
        <w:t>субprime</w:t>
      </w:r>
      <w:proofErr w:type="spellEnd"/>
      <w:r w:rsidRPr="00546D98">
        <w:rPr>
          <w:rFonts w:ascii="Times New Roman" w:eastAsia="Times New Roman" w:hAnsi="Times New Roman" w:cs="Times New Roman"/>
          <w:color w:val="0F1115"/>
          <w:kern w:val="0"/>
          <w:sz w:val="28"/>
          <w:szCs w:val="28"/>
          <w:lang w:eastAsia="ru-RU"/>
          <w14:ligatures w14:val="none"/>
        </w:rPr>
        <w:t xml:space="preserve">-ипотека, рост </w:t>
      </w:r>
      <w:proofErr w:type="spellStart"/>
      <w:r w:rsidRPr="00546D98">
        <w:rPr>
          <w:rFonts w:ascii="Times New Roman" w:eastAsia="Times New Roman" w:hAnsi="Times New Roman" w:cs="Times New Roman"/>
          <w:color w:val="0F1115"/>
          <w:kern w:val="0"/>
          <w:sz w:val="28"/>
          <w:szCs w:val="28"/>
          <w:lang w:eastAsia="ru-RU"/>
          <w14:ligatures w14:val="none"/>
        </w:rPr>
        <w:t>leverage</w:t>
      </w:r>
      <w:proofErr w:type="spellEnd"/>
      <w:r w:rsidRPr="00546D98">
        <w:rPr>
          <w:rFonts w:ascii="Times New Roman" w:eastAsia="Times New Roman" w:hAnsi="Times New Roman" w:cs="Times New Roman"/>
          <w:color w:val="0F1115"/>
          <w:kern w:val="0"/>
          <w:sz w:val="28"/>
          <w:szCs w:val="28"/>
          <w:lang w:eastAsia="ru-RU"/>
          <w14:ligatures w14:val="none"/>
        </w:rPr>
        <w:t>), в 2014 году банковская система была очищена после кризиса 2008 года, а регуляторные требования (Basel III) ужесточены.</w:t>
      </w:r>
    </w:p>
    <w:p w14:paraId="4349186E"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Ключевые данные для января 2014 года:</w:t>
      </w:r>
    </w:p>
    <w:tbl>
      <w:tblPr>
        <w:tblW w:w="8505" w:type="dxa"/>
        <w:tblCellMar>
          <w:top w:w="15" w:type="dxa"/>
          <w:left w:w="15" w:type="dxa"/>
          <w:bottom w:w="15" w:type="dxa"/>
          <w:right w:w="15" w:type="dxa"/>
        </w:tblCellMar>
        <w:tblLook w:val="04A0" w:firstRow="1" w:lastRow="0" w:firstColumn="1" w:lastColumn="0" w:noHBand="0" w:noVBand="1"/>
      </w:tblPr>
      <w:tblGrid>
        <w:gridCol w:w="2552"/>
        <w:gridCol w:w="2268"/>
        <w:gridCol w:w="3685"/>
      </w:tblGrid>
      <w:tr w:rsidR="00247D28" w:rsidRPr="00546D98" w14:paraId="7734C024" w14:textId="77777777" w:rsidTr="00546D98">
        <w:trPr>
          <w:tblHeader/>
        </w:trPr>
        <w:tc>
          <w:tcPr>
            <w:tcW w:w="2552" w:type="dxa"/>
            <w:tcBorders>
              <w:top w:val="nil"/>
            </w:tcBorders>
            <w:tcMar>
              <w:top w:w="150" w:type="dxa"/>
              <w:left w:w="0" w:type="dxa"/>
              <w:bottom w:w="150" w:type="dxa"/>
              <w:right w:w="240" w:type="dxa"/>
            </w:tcMar>
            <w:vAlign w:val="center"/>
            <w:hideMark/>
          </w:tcPr>
          <w:p w14:paraId="663B1C69"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Индикатор</w:t>
            </w:r>
          </w:p>
        </w:tc>
        <w:tc>
          <w:tcPr>
            <w:tcW w:w="2268" w:type="dxa"/>
            <w:tcBorders>
              <w:top w:val="nil"/>
            </w:tcBorders>
            <w:tcMar>
              <w:top w:w="150" w:type="dxa"/>
              <w:left w:w="240" w:type="dxa"/>
              <w:bottom w:w="150" w:type="dxa"/>
              <w:right w:w="240" w:type="dxa"/>
            </w:tcMar>
            <w:vAlign w:val="center"/>
            <w:hideMark/>
          </w:tcPr>
          <w:p w14:paraId="04BDC9EE"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Значение</w:t>
            </w:r>
          </w:p>
        </w:tc>
        <w:tc>
          <w:tcPr>
            <w:tcW w:w="3685" w:type="dxa"/>
            <w:tcBorders>
              <w:top w:val="nil"/>
            </w:tcBorders>
            <w:tcMar>
              <w:top w:w="150" w:type="dxa"/>
              <w:left w:w="240" w:type="dxa"/>
              <w:bottom w:w="150" w:type="dxa"/>
              <w:right w:w="240" w:type="dxa"/>
            </w:tcMar>
            <w:vAlign w:val="center"/>
            <w:hideMark/>
          </w:tcPr>
          <w:p w14:paraId="7FF86482"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Значимость</w:t>
            </w:r>
          </w:p>
        </w:tc>
      </w:tr>
      <w:tr w:rsidR="00247D28" w:rsidRPr="00546D98" w14:paraId="500E0478" w14:textId="77777777" w:rsidTr="00546D98">
        <w:tc>
          <w:tcPr>
            <w:tcW w:w="2552" w:type="dxa"/>
            <w:tcMar>
              <w:top w:w="150" w:type="dxa"/>
              <w:left w:w="0" w:type="dxa"/>
              <w:bottom w:w="150" w:type="dxa"/>
              <w:right w:w="240" w:type="dxa"/>
            </w:tcMar>
            <w:vAlign w:val="center"/>
            <w:hideMark/>
          </w:tcPr>
          <w:p w14:paraId="3DBC1B17" w14:textId="77777777" w:rsidR="00247D28" w:rsidRPr="00546D98" w:rsidRDefault="00247D28" w:rsidP="00546D98">
            <w:pPr>
              <w:spacing w:after="0" w:line="360" w:lineRule="auto"/>
              <w:rPr>
                <w:rFonts w:ascii="Times New Roman" w:eastAsia="Times New Roman" w:hAnsi="Times New Roman" w:cs="Times New Roman"/>
                <w:kern w:val="0"/>
                <w:sz w:val="28"/>
                <w:szCs w:val="28"/>
                <w:lang w:val="en-US" w:eastAsia="ru-RU"/>
                <w14:ligatures w14:val="none"/>
              </w:rPr>
            </w:pPr>
            <w:r w:rsidRPr="00546D98">
              <w:rPr>
                <w:rFonts w:ascii="Times New Roman" w:eastAsia="Times New Roman" w:hAnsi="Times New Roman" w:cs="Times New Roman"/>
                <w:kern w:val="0"/>
                <w:sz w:val="28"/>
                <w:szCs w:val="28"/>
                <w:lang w:val="en-US" w:eastAsia="ru-RU"/>
                <w14:ligatures w14:val="none"/>
              </w:rPr>
              <w:t>JP Morgan Global FX Volatility Index</w:t>
            </w:r>
          </w:p>
        </w:tc>
        <w:tc>
          <w:tcPr>
            <w:tcW w:w="2268" w:type="dxa"/>
            <w:tcMar>
              <w:top w:w="150" w:type="dxa"/>
              <w:left w:w="240" w:type="dxa"/>
              <w:bottom w:w="150" w:type="dxa"/>
              <w:right w:w="240" w:type="dxa"/>
            </w:tcMar>
            <w:vAlign w:val="center"/>
            <w:hideMark/>
          </w:tcPr>
          <w:p w14:paraId="74681E7D"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5,38%</w:t>
            </w:r>
          </w:p>
        </w:tc>
        <w:tc>
          <w:tcPr>
            <w:tcW w:w="3685" w:type="dxa"/>
            <w:tcMar>
              <w:top w:w="150" w:type="dxa"/>
              <w:left w:w="240" w:type="dxa"/>
              <w:bottom w:w="150" w:type="dxa"/>
              <w:right w:w="0" w:type="dxa"/>
            </w:tcMar>
            <w:vAlign w:val="center"/>
            <w:hideMark/>
          </w:tcPr>
          <w:p w14:paraId="59669925"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Исторический минимум с момента создания индекса в 1992 году</w:t>
            </w:r>
          </w:p>
        </w:tc>
      </w:tr>
      <w:tr w:rsidR="00247D28" w:rsidRPr="00546D98" w14:paraId="4DE305A9" w14:textId="77777777" w:rsidTr="00546D98">
        <w:tc>
          <w:tcPr>
            <w:tcW w:w="2552" w:type="dxa"/>
            <w:tcMar>
              <w:top w:w="150" w:type="dxa"/>
              <w:left w:w="0" w:type="dxa"/>
              <w:bottom w:w="150" w:type="dxa"/>
              <w:right w:w="240" w:type="dxa"/>
            </w:tcMar>
            <w:vAlign w:val="center"/>
            <w:hideMark/>
          </w:tcPr>
          <w:p w14:paraId="44CE5C3D"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Deutsche Bank CVIX</w:t>
            </w:r>
          </w:p>
        </w:tc>
        <w:tc>
          <w:tcPr>
            <w:tcW w:w="2268" w:type="dxa"/>
            <w:tcMar>
              <w:top w:w="150" w:type="dxa"/>
              <w:left w:w="240" w:type="dxa"/>
              <w:bottom w:w="150" w:type="dxa"/>
              <w:right w:w="240" w:type="dxa"/>
            </w:tcMar>
            <w:vAlign w:val="center"/>
            <w:hideMark/>
          </w:tcPr>
          <w:p w14:paraId="3BB57889"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Экстремально низкие уровни</w:t>
            </w:r>
          </w:p>
        </w:tc>
        <w:tc>
          <w:tcPr>
            <w:tcW w:w="3685" w:type="dxa"/>
            <w:tcMar>
              <w:top w:w="150" w:type="dxa"/>
              <w:left w:w="240" w:type="dxa"/>
              <w:bottom w:w="150" w:type="dxa"/>
              <w:right w:w="0" w:type="dxa"/>
            </w:tcMar>
            <w:vAlign w:val="center"/>
            <w:hideMark/>
          </w:tcPr>
          <w:p w14:paraId="3BDDFA95"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Ориентир для оценки «затишья» в последующие годы</w:t>
            </w:r>
          </w:p>
        </w:tc>
      </w:tr>
    </w:tbl>
    <w:p w14:paraId="195D14F1"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3. Отсутствие форс-мажорных шоков</w:t>
      </w:r>
    </w:p>
    <w:p w14:paraId="22F90E49"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lastRenderedPageBreak/>
        <w:t>Сравнение с альтернативными датами показывает, что январь 2014 года находится в «окне спокойствия» между двумя волнами кризисов. Принципиально важным является то, что BFP фиксирует начальные условия </w:t>
      </w:r>
      <w:r w:rsidRPr="00546D98">
        <w:rPr>
          <w:rFonts w:ascii="Times New Roman" w:eastAsia="Times New Roman" w:hAnsi="Times New Roman" w:cs="Times New Roman"/>
          <w:i/>
          <w:iCs/>
          <w:color w:val="0F1115"/>
          <w:kern w:val="0"/>
          <w:sz w:val="28"/>
          <w:szCs w:val="28"/>
          <w:lang w:eastAsia="ru-RU"/>
          <w14:ligatures w14:val="none"/>
        </w:rPr>
        <w:t>до</w:t>
      </w:r>
      <w:r w:rsidRPr="00546D98">
        <w:rPr>
          <w:rFonts w:ascii="Times New Roman" w:eastAsia="Times New Roman" w:hAnsi="Times New Roman" w:cs="Times New Roman"/>
          <w:color w:val="0F1115"/>
          <w:kern w:val="0"/>
          <w:sz w:val="28"/>
          <w:szCs w:val="28"/>
          <w:lang w:eastAsia="ru-RU"/>
          <w14:ligatures w14:val="none"/>
        </w:rPr>
        <w:t> проявления шока. Тот факт, что после января 2014 года произошли геополитические изменения, не снижает качества BFP, так как система MOS предназначена для измерения </w:t>
      </w:r>
      <w:r w:rsidRPr="00546D98">
        <w:rPr>
          <w:rFonts w:ascii="Times New Roman" w:eastAsia="Times New Roman" w:hAnsi="Times New Roman" w:cs="Times New Roman"/>
          <w:i/>
          <w:iCs/>
          <w:color w:val="0F1115"/>
          <w:kern w:val="0"/>
          <w:sz w:val="28"/>
          <w:szCs w:val="28"/>
          <w:lang w:eastAsia="ru-RU"/>
          <w14:ligatures w14:val="none"/>
        </w:rPr>
        <w:t>последующих</w:t>
      </w:r>
      <w:r w:rsidRPr="00546D98">
        <w:rPr>
          <w:rFonts w:ascii="Times New Roman" w:eastAsia="Times New Roman" w:hAnsi="Times New Roman" w:cs="Times New Roman"/>
          <w:color w:val="0F1115"/>
          <w:kern w:val="0"/>
          <w:sz w:val="28"/>
          <w:szCs w:val="28"/>
          <w:lang w:eastAsia="ru-RU"/>
          <w14:ligatures w14:val="none"/>
        </w:rPr>
        <w:t> изменений. Выбор точки </w:t>
      </w:r>
      <w:r w:rsidRPr="00546D98">
        <w:rPr>
          <w:rFonts w:ascii="Times New Roman" w:eastAsia="Times New Roman" w:hAnsi="Times New Roman" w:cs="Times New Roman"/>
          <w:i/>
          <w:iCs/>
          <w:color w:val="0F1115"/>
          <w:kern w:val="0"/>
          <w:sz w:val="28"/>
          <w:szCs w:val="28"/>
          <w:lang w:eastAsia="ru-RU"/>
          <w14:ligatures w14:val="none"/>
        </w:rPr>
        <w:t>до</w:t>
      </w:r>
      <w:r w:rsidRPr="00546D98">
        <w:rPr>
          <w:rFonts w:ascii="Times New Roman" w:eastAsia="Times New Roman" w:hAnsi="Times New Roman" w:cs="Times New Roman"/>
          <w:color w:val="0F1115"/>
          <w:kern w:val="0"/>
          <w:sz w:val="28"/>
          <w:szCs w:val="28"/>
          <w:lang w:eastAsia="ru-RU"/>
          <w14:ligatures w14:val="none"/>
        </w:rPr>
        <w:t> структурного слома является методологически предпочтительнее, чем выбор точки </w:t>
      </w:r>
      <w:r w:rsidRPr="00546D98">
        <w:rPr>
          <w:rFonts w:ascii="Times New Roman" w:eastAsia="Times New Roman" w:hAnsi="Times New Roman" w:cs="Times New Roman"/>
          <w:i/>
          <w:iCs/>
          <w:color w:val="0F1115"/>
          <w:kern w:val="0"/>
          <w:sz w:val="28"/>
          <w:szCs w:val="28"/>
          <w:lang w:eastAsia="ru-RU"/>
          <w14:ligatures w14:val="none"/>
        </w:rPr>
        <w:t>после</w:t>
      </w:r>
      <w:r w:rsidRPr="00546D98">
        <w:rPr>
          <w:rFonts w:ascii="Times New Roman" w:eastAsia="Times New Roman" w:hAnsi="Times New Roman" w:cs="Times New Roman"/>
          <w:color w:val="0F1115"/>
          <w:kern w:val="0"/>
          <w:sz w:val="28"/>
          <w:szCs w:val="28"/>
          <w:lang w:eastAsia="ru-RU"/>
          <w14:ligatures w14:val="none"/>
        </w:rPr>
        <w:t> него, так как позволяет оценить величину самого слома.</w:t>
      </w:r>
    </w:p>
    <w:tbl>
      <w:tblPr>
        <w:tblW w:w="9498" w:type="dxa"/>
        <w:tblCellMar>
          <w:top w:w="15" w:type="dxa"/>
          <w:left w:w="15" w:type="dxa"/>
          <w:bottom w:w="15" w:type="dxa"/>
          <w:right w:w="15" w:type="dxa"/>
        </w:tblCellMar>
        <w:tblLook w:val="04A0" w:firstRow="1" w:lastRow="0" w:firstColumn="1" w:lastColumn="0" w:noHBand="0" w:noVBand="1"/>
      </w:tblPr>
      <w:tblGrid>
        <w:gridCol w:w="2231"/>
        <w:gridCol w:w="3156"/>
        <w:gridCol w:w="4111"/>
      </w:tblGrid>
      <w:tr w:rsidR="00247D28" w:rsidRPr="00546D98" w14:paraId="5CF89334" w14:textId="77777777" w:rsidTr="00546D98">
        <w:trPr>
          <w:tblHeader/>
        </w:trPr>
        <w:tc>
          <w:tcPr>
            <w:tcW w:w="2231" w:type="dxa"/>
            <w:tcBorders>
              <w:top w:val="nil"/>
            </w:tcBorders>
            <w:tcMar>
              <w:top w:w="150" w:type="dxa"/>
              <w:left w:w="0" w:type="dxa"/>
              <w:bottom w:w="150" w:type="dxa"/>
              <w:right w:w="240" w:type="dxa"/>
            </w:tcMar>
            <w:vAlign w:val="center"/>
            <w:hideMark/>
          </w:tcPr>
          <w:p w14:paraId="47A5CADB"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Альтернативная дата</w:t>
            </w:r>
          </w:p>
        </w:tc>
        <w:tc>
          <w:tcPr>
            <w:tcW w:w="3156" w:type="dxa"/>
            <w:tcBorders>
              <w:top w:val="nil"/>
            </w:tcBorders>
            <w:tcMar>
              <w:top w:w="150" w:type="dxa"/>
              <w:left w:w="240" w:type="dxa"/>
              <w:bottom w:w="150" w:type="dxa"/>
              <w:right w:w="240" w:type="dxa"/>
            </w:tcMar>
            <w:vAlign w:val="center"/>
            <w:hideMark/>
          </w:tcPr>
          <w:p w14:paraId="3E640036"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Основные риски</w:t>
            </w:r>
          </w:p>
        </w:tc>
        <w:tc>
          <w:tcPr>
            <w:tcW w:w="4111" w:type="dxa"/>
            <w:tcBorders>
              <w:top w:val="nil"/>
            </w:tcBorders>
            <w:tcMar>
              <w:top w:w="150" w:type="dxa"/>
              <w:left w:w="240" w:type="dxa"/>
              <w:bottom w:w="150" w:type="dxa"/>
              <w:right w:w="240" w:type="dxa"/>
            </w:tcMar>
            <w:vAlign w:val="center"/>
            <w:hideMark/>
          </w:tcPr>
          <w:p w14:paraId="1D68EA7E"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Недостатки для фиксации BFP</w:t>
            </w:r>
          </w:p>
        </w:tc>
      </w:tr>
      <w:tr w:rsidR="00247D28" w:rsidRPr="00546D98" w14:paraId="2E351C06" w14:textId="77777777" w:rsidTr="00546D98">
        <w:tc>
          <w:tcPr>
            <w:tcW w:w="2231" w:type="dxa"/>
            <w:tcMar>
              <w:top w:w="150" w:type="dxa"/>
              <w:left w:w="0" w:type="dxa"/>
              <w:bottom w:w="150" w:type="dxa"/>
              <w:right w:w="240" w:type="dxa"/>
            </w:tcMar>
            <w:vAlign w:val="center"/>
            <w:hideMark/>
          </w:tcPr>
          <w:p w14:paraId="47340AE8"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b/>
                <w:bCs/>
                <w:kern w:val="0"/>
                <w:sz w:val="28"/>
                <w:szCs w:val="28"/>
                <w:lang w:eastAsia="ru-RU"/>
                <w14:ligatures w14:val="none"/>
              </w:rPr>
              <w:t>2019 год</w:t>
            </w:r>
          </w:p>
        </w:tc>
        <w:tc>
          <w:tcPr>
            <w:tcW w:w="3156" w:type="dxa"/>
            <w:tcMar>
              <w:top w:w="150" w:type="dxa"/>
              <w:left w:w="240" w:type="dxa"/>
              <w:bottom w:w="150" w:type="dxa"/>
              <w:right w:w="240" w:type="dxa"/>
            </w:tcMar>
            <w:vAlign w:val="center"/>
            <w:hideMark/>
          </w:tcPr>
          <w:p w14:paraId="32933807"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 xml:space="preserve">Эскалация торговой войны США–Китай; пик неопределённости вокруг </w:t>
            </w:r>
            <w:proofErr w:type="spellStart"/>
            <w:r w:rsidRPr="00546D98">
              <w:rPr>
                <w:rFonts w:ascii="Times New Roman" w:eastAsia="Times New Roman" w:hAnsi="Times New Roman" w:cs="Times New Roman"/>
                <w:kern w:val="0"/>
                <w:sz w:val="28"/>
                <w:szCs w:val="28"/>
                <w:lang w:eastAsia="ru-RU"/>
                <w14:ligatures w14:val="none"/>
              </w:rPr>
              <w:t>Brexit</w:t>
            </w:r>
            <w:proofErr w:type="spellEnd"/>
            <w:r w:rsidRPr="00546D98">
              <w:rPr>
                <w:rFonts w:ascii="Times New Roman" w:eastAsia="Times New Roman" w:hAnsi="Times New Roman" w:cs="Times New Roman"/>
                <w:kern w:val="0"/>
                <w:sz w:val="28"/>
                <w:szCs w:val="28"/>
                <w:lang w:eastAsia="ru-RU"/>
                <w14:ligatures w14:val="none"/>
              </w:rPr>
              <w:t>; начало замедления мировой экономики.</w:t>
            </w:r>
          </w:p>
        </w:tc>
        <w:tc>
          <w:tcPr>
            <w:tcW w:w="4111" w:type="dxa"/>
            <w:tcMar>
              <w:top w:w="150" w:type="dxa"/>
              <w:left w:w="240" w:type="dxa"/>
              <w:bottom w:w="150" w:type="dxa"/>
              <w:right w:w="0" w:type="dxa"/>
            </w:tcMar>
            <w:vAlign w:val="center"/>
            <w:hideMark/>
          </w:tcPr>
          <w:p w14:paraId="54D944E6"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Высокая геополитическая напряжённость. Рынки были спокойны </w:t>
            </w:r>
            <w:r w:rsidRPr="00546D98">
              <w:rPr>
                <w:rFonts w:ascii="Times New Roman" w:eastAsia="Times New Roman" w:hAnsi="Times New Roman" w:cs="Times New Roman"/>
                <w:i/>
                <w:iCs/>
                <w:kern w:val="0"/>
                <w:sz w:val="28"/>
                <w:szCs w:val="28"/>
                <w:lang w:eastAsia="ru-RU"/>
                <w14:ligatures w14:val="none"/>
              </w:rPr>
              <w:t>вопреки</w:t>
            </w:r>
            <w:r w:rsidRPr="00546D98">
              <w:rPr>
                <w:rFonts w:ascii="Times New Roman" w:eastAsia="Times New Roman" w:hAnsi="Times New Roman" w:cs="Times New Roman"/>
                <w:kern w:val="0"/>
                <w:sz w:val="28"/>
                <w:szCs w:val="28"/>
                <w:lang w:eastAsia="ru-RU"/>
                <w14:ligatures w14:val="none"/>
              </w:rPr>
              <w:t> рискам, а не </w:t>
            </w:r>
            <w:r w:rsidRPr="00546D98">
              <w:rPr>
                <w:rFonts w:ascii="Times New Roman" w:eastAsia="Times New Roman" w:hAnsi="Times New Roman" w:cs="Times New Roman"/>
                <w:i/>
                <w:iCs/>
                <w:kern w:val="0"/>
                <w:sz w:val="28"/>
                <w:szCs w:val="28"/>
                <w:lang w:eastAsia="ru-RU"/>
                <w14:ligatures w14:val="none"/>
              </w:rPr>
              <w:t>благодаря</w:t>
            </w:r>
            <w:r w:rsidRPr="00546D98">
              <w:rPr>
                <w:rFonts w:ascii="Times New Roman" w:eastAsia="Times New Roman" w:hAnsi="Times New Roman" w:cs="Times New Roman"/>
                <w:kern w:val="0"/>
                <w:sz w:val="28"/>
                <w:szCs w:val="28"/>
                <w:lang w:eastAsia="ru-RU"/>
                <w14:ligatures w14:val="none"/>
              </w:rPr>
              <w:t> их отсутствию. Это «хрупкое спокойствие».</w:t>
            </w:r>
          </w:p>
        </w:tc>
      </w:tr>
      <w:tr w:rsidR="00247D28" w:rsidRPr="00546D98" w14:paraId="57A76A97" w14:textId="77777777" w:rsidTr="00546D98">
        <w:tc>
          <w:tcPr>
            <w:tcW w:w="2231" w:type="dxa"/>
            <w:tcMar>
              <w:top w:w="150" w:type="dxa"/>
              <w:left w:w="0" w:type="dxa"/>
              <w:bottom w:w="150" w:type="dxa"/>
              <w:right w:w="240" w:type="dxa"/>
            </w:tcMar>
            <w:vAlign w:val="center"/>
            <w:hideMark/>
          </w:tcPr>
          <w:p w14:paraId="4680DE4F"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b/>
                <w:bCs/>
                <w:kern w:val="0"/>
                <w:sz w:val="28"/>
                <w:szCs w:val="28"/>
                <w:lang w:eastAsia="ru-RU"/>
                <w14:ligatures w14:val="none"/>
              </w:rPr>
              <w:t>1996 год</w:t>
            </w:r>
          </w:p>
        </w:tc>
        <w:tc>
          <w:tcPr>
            <w:tcW w:w="3156" w:type="dxa"/>
            <w:tcMar>
              <w:top w:w="150" w:type="dxa"/>
              <w:left w:w="240" w:type="dxa"/>
              <w:bottom w:w="150" w:type="dxa"/>
              <w:right w:w="240" w:type="dxa"/>
            </w:tcMar>
            <w:vAlign w:val="center"/>
            <w:hideMark/>
          </w:tcPr>
          <w:p w14:paraId="58DD4527"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Отсутствие цифровых данных высокой частоты; использование аналоговых методов анализа; меньшая интеграция глобальных рынков капитала.</w:t>
            </w:r>
          </w:p>
        </w:tc>
        <w:tc>
          <w:tcPr>
            <w:tcW w:w="4111" w:type="dxa"/>
            <w:tcMar>
              <w:top w:w="150" w:type="dxa"/>
              <w:left w:w="240" w:type="dxa"/>
              <w:bottom w:w="150" w:type="dxa"/>
              <w:right w:w="0" w:type="dxa"/>
            </w:tcMar>
            <w:vAlign w:val="center"/>
            <w:hideMark/>
          </w:tcPr>
          <w:p w14:paraId="3BB2DBCF"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Низкое качество и частота данных. Неприменим для современной методологии MOS, требующей точных ежедневных или месячных данных по широкому спектру валют.</w:t>
            </w:r>
          </w:p>
        </w:tc>
      </w:tr>
      <w:tr w:rsidR="00247D28" w:rsidRPr="00546D98" w14:paraId="12A477E4" w14:textId="77777777" w:rsidTr="00546D98">
        <w:tc>
          <w:tcPr>
            <w:tcW w:w="2231" w:type="dxa"/>
            <w:tcBorders>
              <w:bottom w:val="single" w:sz="4" w:space="0" w:color="auto"/>
            </w:tcBorders>
            <w:tcMar>
              <w:top w:w="150" w:type="dxa"/>
              <w:left w:w="0" w:type="dxa"/>
              <w:bottom w:w="150" w:type="dxa"/>
              <w:right w:w="240" w:type="dxa"/>
            </w:tcMar>
            <w:vAlign w:val="center"/>
            <w:hideMark/>
          </w:tcPr>
          <w:p w14:paraId="4CB10D41"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b/>
                <w:bCs/>
                <w:kern w:val="0"/>
                <w:sz w:val="28"/>
                <w:szCs w:val="28"/>
                <w:lang w:eastAsia="ru-RU"/>
                <w14:ligatures w14:val="none"/>
              </w:rPr>
              <w:lastRenderedPageBreak/>
              <w:t>2006 год</w:t>
            </w:r>
          </w:p>
        </w:tc>
        <w:tc>
          <w:tcPr>
            <w:tcW w:w="3156" w:type="dxa"/>
            <w:tcMar>
              <w:top w:w="150" w:type="dxa"/>
              <w:left w:w="240" w:type="dxa"/>
              <w:bottom w:w="150" w:type="dxa"/>
              <w:right w:w="240" w:type="dxa"/>
            </w:tcMar>
            <w:vAlign w:val="center"/>
            <w:hideMark/>
          </w:tcPr>
          <w:p w14:paraId="3F564DC1"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 xml:space="preserve">Предкризисный «пузырь»; накопление системных рисков; начало сворачивания </w:t>
            </w:r>
            <w:proofErr w:type="spellStart"/>
            <w:r w:rsidRPr="00546D98">
              <w:rPr>
                <w:rFonts w:ascii="Times New Roman" w:eastAsia="Times New Roman" w:hAnsi="Times New Roman" w:cs="Times New Roman"/>
                <w:kern w:val="0"/>
                <w:sz w:val="28"/>
                <w:szCs w:val="28"/>
                <w:lang w:eastAsia="ru-RU"/>
                <w14:ligatures w14:val="none"/>
              </w:rPr>
              <w:t>carry</w:t>
            </w:r>
            <w:proofErr w:type="spellEnd"/>
            <w:r w:rsidRPr="00546D98">
              <w:rPr>
                <w:rFonts w:ascii="Times New Roman" w:eastAsia="Times New Roman" w:hAnsi="Times New Roman" w:cs="Times New Roman"/>
                <w:kern w:val="0"/>
                <w:sz w:val="28"/>
                <w:szCs w:val="28"/>
                <w:lang w:eastAsia="ru-RU"/>
                <w14:ligatures w14:val="none"/>
              </w:rPr>
              <w:t xml:space="preserve"> </w:t>
            </w:r>
            <w:proofErr w:type="spellStart"/>
            <w:r w:rsidRPr="00546D98">
              <w:rPr>
                <w:rFonts w:ascii="Times New Roman" w:eastAsia="Times New Roman" w:hAnsi="Times New Roman" w:cs="Times New Roman"/>
                <w:kern w:val="0"/>
                <w:sz w:val="28"/>
                <w:szCs w:val="28"/>
                <w:lang w:eastAsia="ru-RU"/>
                <w14:ligatures w14:val="none"/>
              </w:rPr>
              <w:t>trade</w:t>
            </w:r>
            <w:proofErr w:type="spellEnd"/>
            <w:r w:rsidRPr="00546D98">
              <w:rPr>
                <w:rFonts w:ascii="Times New Roman" w:eastAsia="Times New Roman" w:hAnsi="Times New Roman" w:cs="Times New Roman"/>
                <w:kern w:val="0"/>
                <w:sz w:val="28"/>
                <w:szCs w:val="28"/>
                <w:lang w:eastAsia="ru-RU"/>
                <w14:ligatures w14:val="none"/>
              </w:rPr>
              <w:t>.</w:t>
            </w:r>
          </w:p>
        </w:tc>
        <w:tc>
          <w:tcPr>
            <w:tcW w:w="4111" w:type="dxa"/>
            <w:tcMar>
              <w:top w:w="150" w:type="dxa"/>
              <w:left w:w="240" w:type="dxa"/>
              <w:bottom w:w="150" w:type="dxa"/>
              <w:right w:w="0" w:type="dxa"/>
            </w:tcMar>
            <w:vAlign w:val="center"/>
            <w:hideMark/>
          </w:tcPr>
          <w:p w14:paraId="6CF1C877"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Накопление дисбалансов. Спокойствие было обманчивым (затишье перед бурей 2008 года).</w:t>
            </w:r>
          </w:p>
        </w:tc>
      </w:tr>
    </w:tbl>
    <w:p w14:paraId="4A9826A4"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Уникальность января 2014 года:</w:t>
      </w:r>
    </w:p>
    <w:p w14:paraId="4A0F3FFD" w14:textId="77777777" w:rsidR="00247D28" w:rsidRPr="00546D98" w:rsidRDefault="00247D28" w:rsidP="00546D98">
      <w:pPr>
        <w:numPr>
          <w:ilvl w:val="0"/>
          <w:numId w:val="2"/>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Острые последствия кризиса 2008 года были преодолены (банковская система стабилизирована).</w:t>
      </w:r>
    </w:p>
    <w:p w14:paraId="4616A1A7" w14:textId="77777777" w:rsidR="00247D28" w:rsidRPr="00546D98" w:rsidRDefault="00247D28" w:rsidP="00546D98">
      <w:pPr>
        <w:numPr>
          <w:ilvl w:val="0"/>
          <w:numId w:val="2"/>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Новые геополитические риски (Крым, торговые войны) ещё не проявились.</w:t>
      </w:r>
    </w:p>
    <w:p w14:paraId="6D446E37" w14:textId="77777777" w:rsidR="00247D28" w:rsidRPr="00546D98" w:rsidRDefault="00247D28" w:rsidP="00546D98">
      <w:pPr>
        <w:numPr>
          <w:ilvl w:val="0"/>
          <w:numId w:val="2"/>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Центральные банки находились в фазе максимальной прозрачности своих намерений.</w:t>
      </w:r>
    </w:p>
    <w:p w14:paraId="7545190E"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4. Методологическое преимущество для MOS: точка смены парадигмы</w:t>
      </w:r>
    </w:p>
    <w:p w14:paraId="76DF2FA2"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В рамках методологии MOS январь 2014 года важен как </w:t>
      </w:r>
      <w:r w:rsidRPr="00546D98">
        <w:rPr>
          <w:rFonts w:ascii="Times New Roman" w:eastAsia="Times New Roman" w:hAnsi="Times New Roman" w:cs="Times New Roman"/>
          <w:b/>
          <w:bCs/>
          <w:color w:val="0F1115"/>
          <w:kern w:val="0"/>
          <w:sz w:val="28"/>
          <w:szCs w:val="28"/>
          <w:lang w:eastAsia="ru-RU"/>
          <w14:ligatures w14:val="none"/>
        </w:rPr>
        <w:t>срединная точка</w:t>
      </w:r>
      <w:r w:rsidRPr="00546D98">
        <w:rPr>
          <w:rFonts w:ascii="Times New Roman" w:eastAsia="Times New Roman" w:hAnsi="Times New Roman" w:cs="Times New Roman"/>
          <w:color w:val="0F1115"/>
          <w:kern w:val="0"/>
          <w:sz w:val="28"/>
          <w:szCs w:val="28"/>
          <w:lang w:eastAsia="ru-RU"/>
          <w14:ligatures w14:val="none"/>
        </w:rPr>
        <w:t> и одновременно </w:t>
      </w:r>
      <w:r w:rsidRPr="00546D98">
        <w:rPr>
          <w:rFonts w:ascii="Times New Roman" w:eastAsia="Times New Roman" w:hAnsi="Times New Roman" w:cs="Times New Roman"/>
          <w:b/>
          <w:bCs/>
          <w:color w:val="0F1115"/>
          <w:kern w:val="0"/>
          <w:sz w:val="28"/>
          <w:szCs w:val="28"/>
          <w:lang w:eastAsia="ru-RU"/>
          <w14:ligatures w14:val="none"/>
        </w:rPr>
        <w:t>точка смены парадигмы</w:t>
      </w:r>
      <w:r w:rsidRPr="00546D98">
        <w:rPr>
          <w:rFonts w:ascii="Times New Roman" w:eastAsia="Times New Roman" w:hAnsi="Times New Roman" w:cs="Times New Roman"/>
          <w:color w:val="0F1115"/>
          <w:kern w:val="0"/>
          <w:sz w:val="28"/>
          <w:szCs w:val="28"/>
          <w:lang w:eastAsia="ru-RU"/>
          <w14:ligatures w14:val="none"/>
        </w:rPr>
        <w:t>:</w:t>
      </w:r>
    </w:p>
    <w:p w14:paraId="6B335C4D" w14:textId="77777777" w:rsidR="00247D28" w:rsidRPr="00546D98" w:rsidRDefault="00247D28" w:rsidP="00546D98">
      <w:pPr>
        <w:numPr>
          <w:ilvl w:val="0"/>
          <w:numId w:val="3"/>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Достаточная удалённость от предыдущих шоков</w:t>
      </w:r>
      <w:r w:rsidRPr="00546D98">
        <w:rPr>
          <w:rFonts w:ascii="Times New Roman" w:eastAsia="Times New Roman" w:hAnsi="Times New Roman" w:cs="Times New Roman"/>
          <w:color w:val="0F1115"/>
          <w:kern w:val="0"/>
          <w:sz w:val="28"/>
          <w:szCs w:val="28"/>
          <w:lang w:eastAsia="ru-RU"/>
          <w14:ligatures w14:val="none"/>
        </w:rPr>
        <w:t>: Интервал позволяет оценить долгосрочную стабильность ключевых валют (например, швейцарского франка) без влияния пандемий и геополитических шоков последних лет.</w:t>
      </w:r>
    </w:p>
    <w:p w14:paraId="2C68D8F4" w14:textId="77777777" w:rsidR="00247D28" w:rsidRPr="00546D98" w:rsidRDefault="00247D28" w:rsidP="00546D98">
      <w:pPr>
        <w:numPr>
          <w:ilvl w:val="0"/>
          <w:numId w:val="3"/>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 xml:space="preserve">Отсутствие аномалий ZLB (Zero </w:t>
      </w:r>
      <w:proofErr w:type="spellStart"/>
      <w:r w:rsidRPr="00546D98">
        <w:rPr>
          <w:rFonts w:ascii="Times New Roman" w:eastAsia="Times New Roman" w:hAnsi="Times New Roman" w:cs="Times New Roman"/>
          <w:b/>
          <w:bCs/>
          <w:color w:val="0F1115"/>
          <w:kern w:val="0"/>
          <w:sz w:val="28"/>
          <w:szCs w:val="28"/>
          <w:lang w:eastAsia="ru-RU"/>
          <w14:ligatures w14:val="none"/>
        </w:rPr>
        <w:t>Lower</w:t>
      </w:r>
      <w:proofErr w:type="spellEnd"/>
      <w:r w:rsidRPr="00546D98">
        <w:rPr>
          <w:rFonts w:ascii="Times New Roman" w:eastAsia="Times New Roman" w:hAnsi="Times New Roman" w:cs="Times New Roman"/>
          <w:b/>
          <w:bCs/>
          <w:color w:val="0F1115"/>
          <w:kern w:val="0"/>
          <w:sz w:val="28"/>
          <w:szCs w:val="28"/>
          <w:lang w:eastAsia="ru-RU"/>
          <w14:ligatures w14:val="none"/>
        </w:rPr>
        <w:t xml:space="preserve"> </w:t>
      </w:r>
      <w:proofErr w:type="spellStart"/>
      <w:r w:rsidRPr="00546D98">
        <w:rPr>
          <w:rFonts w:ascii="Times New Roman" w:eastAsia="Times New Roman" w:hAnsi="Times New Roman" w:cs="Times New Roman"/>
          <w:b/>
          <w:bCs/>
          <w:color w:val="0F1115"/>
          <w:kern w:val="0"/>
          <w:sz w:val="28"/>
          <w:szCs w:val="28"/>
          <w:lang w:eastAsia="ru-RU"/>
          <w14:ligatures w14:val="none"/>
        </w:rPr>
        <w:t>Bound</w:t>
      </w:r>
      <w:proofErr w:type="spellEnd"/>
      <w:r w:rsidRPr="00546D98">
        <w:rPr>
          <w:rFonts w:ascii="Times New Roman" w:eastAsia="Times New Roman" w:hAnsi="Times New Roman" w:cs="Times New Roman"/>
          <w:b/>
          <w:bCs/>
          <w:color w:val="0F1115"/>
          <w:kern w:val="0"/>
          <w:sz w:val="28"/>
          <w:szCs w:val="28"/>
          <w:lang w:eastAsia="ru-RU"/>
          <w14:ligatures w14:val="none"/>
        </w:rPr>
        <w:t>)</w:t>
      </w:r>
      <w:r w:rsidRPr="00546D98">
        <w:rPr>
          <w:rFonts w:ascii="Times New Roman" w:eastAsia="Times New Roman" w:hAnsi="Times New Roman" w:cs="Times New Roman"/>
          <w:color w:val="0F1115"/>
          <w:kern w:val="0"/>
          <w:sz w:val="28"/>
          <w:szCs w:val="28"/>
          <w:lang w:eastAsia="ru-RU"/>
          <w14:ligatures w14:val="none"/>
        </w:rPr>
        <w:t>: В 2014 году отрицательные ставки в Европе и Швейцарии уже существовали, но рынки к ним адаптировались. Не было экстренного количественного смягчения (QE) в ответ на внешние шоки (в отличие от 2020 года).</w:t>
      </w:r>
    </w:p>
    <w:p w14:paraId="4D57E088" w14:textId="77777777" w:rsidR="00247D28" w:rsidRPr="00546D98" w:rsidRDefault="00247D28" w:rsidP="00546D98">
      <w:pPr>
        <w:numPr>
          <w:ilvl w:val="0"/>
          <w:numId w:val="3"/>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lastRenderedPageBreak/>
        <w:t>Качество данных</w:t>
      </w:r>
      <w:proofErr w:type="gramStart"/>
      <w:r w:rsidRPr="00546D98">
        <w:rPr>
          <w:rFonts w:ascii="Times New Roman" w:eastAsia="Times New Roman" w:hAnsi="Times New Roman" w:cs="Times New Roman"/>
          <w:color w:val="0F1115"/>
          <w:kern w:val="0"/>
          <w:sz w:val="28"/>
          <w:szCs w:val="28"/>
          <w:lang w:eastAsia="ru-RU"/>
          <w14:ligatures w14:val="none"/>
        </w:rPr>
        <w:t>: Это</w:t>
      </w:r>
      <w:proofErr w:type="gramEnd"/>
      <w:r w:rsidRPr="00546D98">
        <w:rPr>
          <w:rFonts w:ascii="Times New Roman" w:eastAsia="Times New Roman" w:hAnsi="Times New Roman" w:cs="Times New Roman"/>
          <w:color w:val="0F1115"/>
          <w:kern w:val="0"/>
          <w:sz w:val="28"/>
          <w:szCs w:val="28"/>
          <w:lang w:eastAsia="ru-RU"/>
          <w14:ligatures w14:val="none"/>
        </w:rPr>
        <w:t xml:space="preserve"> первая точка в истории, где данные по инфляции, курсам и макроэкономическим показателям доступны в единых, стандартизированных форматах для всех валют, включая развивающиеся рынки.</w:t>
      </w:r>
    </w:p>
    <w:p w14:paraId="3F4D9DB8"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5. Сравнение с альтернативой: почему январь 2014, а не 2019</w:t>
      </w:r>
    </w:p>
    <w:p w14:paraId="1FA86D4B"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 xml:space="preserve">Оба периода (2014 и 2019) характеризовались низкой волатильностью, однако природа этой низкой волатильности принципиально различается. Для фиксации BFP предпочтительнее структурная, а не конъюнктурная стабильность. Структурная стабильность 2014 года проистекала из единой институциональной рамки (форвардное ориентирование), которая жёстко ограничивала возможные действия центробанков. В 2019 году низкая волатильность была следствием паузы в ужесточении политики на фоне неопределённости (торговые войны, </w:t>
      </w:r>
      <w:proofErr w:type="spellStart"/>
      <w:r w:rsidRPr="00546D98">
        <w:rPr>
          <w:rFonts w:ascii="Times New Roman" w:eastAsia="Times New Roman" w:hAnsi="Times New Roman" w:cs="Times New Roman"/>
          <w:color w:val="0F1115"/>
          <w:kern w:val="0"/>
          <w:sz w:val="28"/>
          <w:szCs w:val="28"/>
          <w:lang w:eastAsia="ru-RU"/>
          <w14:ligatures w14:val="none"/>
        </w:rPr>
        <w:t>Brexit</w:t>
      </w:r>
      <w:proofErr w:type="spellEnd"/>
      <w:r w:rsidRPr="00546D98">
        <w:rPr>
          <w:rFonts w:ascii="Times New Roman" w:eastAsia="Times New Roman" w:hAnsi="Times New Roman" w:cs="Times New Roman"/>
          <w:color w:val="0F1115"/>
          <w:kern w:val="0"/>
          <w:sz w:val="28"/>
          <w:szCs w:val="28"/>
          <w:lang w:eastAsia="ru-RU"/>
          <w14:ligatures w14:val="none"/>
        </w:rPr>
        <w:t>), то есть была функцией </w:t>
      </w:r>
      <w:r w:rsidRPr="00546D98">
        <w:rPr>
          <w:rFonts w:ascii="Times New Roman" w:eastAsia="Times New Roman" w:hAnsi="Times New Roman" w:cs="Times New Roman"/>
          <w:i/>
          <w:iCs/>
          <w:color w:val="0F1115"/>
          <w:kern w:val="0"/>
          <w:sz w:val="28"/>
          <w:szCs w:val="28"/>
          <w:lang w:eastAsia="ru-RU"/>
          <w14:ligatures w14:val="none"/>
        </w:rPr>
        <w:t>отсутствия</w:t>
      </w:r>
      <w:r w:rsidRPr="00546D98">
        <w:rPr>
          <w:rFonts w:ascii="Times New Roman" w:eastAsia="Times New Roman" w:hAnsi="Times New Roman" w:cs="Times New Roman"/>
          <w:color w:val="0F1115"/>
          <w:kern w:val="0"/>
          <w:sz w:val="28"/>
          <w:szCs w:val="28"/>
          <w:lang w:eastAsia="ru-RU"/>
          <w14:ligatures w14:val="none"/>
        </w:rPr>
        <w:t> решений, а не </w:t>
      </w:r>
      <w:r w:rsidRPr="00546D98">
        <w:rPr>
          <w:rFonts w:ascii="Times New Roman" w:eastAsia="Times New Roman" w:hAnsi="Times New Roman" w:cs="Times New Roman"/>
          <w:i/>
          <w:iCs/>
          <w:color w:val="0F1115"/>
          <w:kern w:val="0"/>
          <w:sz w:val="28"/>
          <w:szCs w:val="28"/>
          <w:lang w:eastAsia="ru-RU"/>
          <w14:ligatures w14:val="none"/>
        </w:rPr>
        <w:t>предсказуемости</w:t>
      </w:r>
      <w:r w:rsidRPr="00546D98">
        <w:rPr>
          <w:rFonts w:ascii="Times New Roman" w:eastAsia="Times New Roman" w:hAnsi="Times New Roman" w:cs="Times New Roman"/>
          <w:color w:val="0F1115"/>
          <w:kern w:val="0"/>
          <w:sz w:val="28"/>
          <w:szCs w:val="28"/>
          <w:lang w:eastAsia="ru-RU"/>
          <w14:ligatures w14:val="none"/>
        </w:rPr>
        <w:t> будущих.</w:t>
      </w:r>
    </w:p>
    <w:tbl>
      <w:tblPr>
        <w:tblW w:w="8789" w:type="dxa"/>
        <w:tblCellMar>
          <w:top w:w="15" w:type="dxa"/>
          <w:left w:w="15" w:type="dxa"/>
          <w:bottom w:w="15" w:type="dxa"/>
          <w:right w:w="15" w:type="dxa"/>
        </w:tblCellMar>
        <w:tblLook w:val="04A0" w:firstRow="1" w:lastRow="0" w:firstColumn="1" w:lastColumn="0" w:noHBand="0" w:noVBand="1"/>
      </w:tblPr>
      <w:tblGrid>
        <w:gridCol w:w="2552"/>
        <w:gridCol w:w="3260"/>
        <w:gridCol w:w="2977"/>
      </w:tblGrid>
      <w:tr w:rsidR="00247D28" w:rsidRPr="00546D98" w14:paraId="4F37923E" w14:textId="77777777" w:rsidTr="00546D98">
        <w:trPr>
          <w:tblHeader/>
        </w:trPr>
        <w:tc>
          <w:tcPr>
            <w:tcW w:w="2552" w:type="dxa"/>
            <w:tcBorders>
              <w:top w:val="nil"/>
            </w:tcBorders>
            <w:tcMar>
              <w:top w:w="150" w:type="dxa"/>
              <w:left w:w="0" w:type="dxa"/>
              <w:bottom w:w="150" w:type="dxa"/>
              <w:right w:w="240" w:type="dxa"/>
            </w:tcMar>
            <w:vAlign w:val="center"/>
            <w:hideMark/>
          </w:tcPr>
          <w:p w14:paraId="1B759ABC"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Критерий</w:t>
            </w:r>
          </w:p>
        </w:tc>
        <w:tc>
          <w:tcPr>
            <w:tcW w:w="3260" w:type="dxa"/>
            <w:tcBorders>
              <w:top w:val="nil"/>
            </w:tcBorders>
            <w:tcMar>
              <w:top w:w="150" w:type="dxa"/>
              <w:left w:w="240" w:type="dxa"/>
              <w:bottom w:w="150" w:type="dxa"/>
              <w:right w:w="240" w:type="dxa"/>
            </w:tcMar>
            <w:vAlign w:val="center"/>
            <w:hideMark/>
          </w:tcPr>
          <w:p w14:paraId="09BDD287"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b/>
                <w:bCs/>
                <w:kern w:val="0"/>
                <w:sz w:val="28"/>
                <w:szCs w:val="28"/>
                <w:lang w:eastAsia="ru-RU"/>
                <w14:ligatures w14:val="none"/>
              </w:rPr>
              <w:t>Январь 2014</w:t>
            </w:r>
          </w:p>
        </w:tc>
        <w:tc>
          <w:tcPr>
            <w:tcW w:w="2977" w:type="dxa"/>
            <w:tcBorders>
              <w:top w:val="nil"/>
            </w:tcBorders>
            <w:tcMar>
              <w:top w:w="150" w:type="dxa"/>
              <w:left w:w="240" w:type="dxa"/>
              <w:bottom w:w="150" w:type="dxa"/>
              <w:right w:w="240" w:type="dxa"/>
            </w:tcMar>
            <w:vAlign w:val="center"/>
            <w:hideMark/>
          </w:tcPr>
          <w:p w14:paraId="5242294F"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b/>
                <w:bCs/>
                <w:kern w:val="0"/>
                <w:sz w:val="28"/>
                <w:szCs w:val="28"/>
                <w:lang w:eastAsia="ru-RU"/>
                <w14:ligatures w14:val="none"/>
              </w:rPr>
              <w:t>2019 год</w:t>
            </w:r>
          </w:p>
        </w:tc>
      </w:tr>
      <w:tr w:rsidR="00247D28" w:rsidRPr="00546D98" w14:paraId="6C7AE620" w14:textId="77777777" w:rsidTr="00546D98">
        <w:tc>
          <w:tcPr>
            <w:tcW w:w="2552" w:type="dxa"/>
            <w:tcMar>
              <w:top w:w="150" w:type="dxa"/>
              <w:left w:w="0" w:type="dxa"/>
              <w:bottom w:w="150" w:type="dxa"/>
              <w:right w:w="240" w:type="dxa"/>
            </w:tcMar>
            <w:vAlign w:val="center"/>
            <w:hideMark/>
          </w:tcPr>
          <w:p w14:paraId="21F2267F"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b/>
                <w:bCs/>
                <w:kern w:val="0"/>
                <w:sz w:val="28"/>
                <w:szCs w:val="28"/>
                <w:lang w:eastAsia="ru-RU"/>
                <w14:ligatures w14:val="none"/>
              </w:rPr>
              <w:t>Причина низкой волатильности</w:t>
            </w:r>
          </w:p>
        </w:tc>
        <w:tc>
          <w:tcPr>
            <w:tcW w:w="3260" w:type="dxa"/>
            <w:tcMar>
              <w:top w:w="150" w:type="dxa"/>
              <w:left w:w="240" w:type="dxa"/>
              <w:bottom w:w="150" w:type="dxa"/>
              <w:right w:w="240" w:type="dxa"/>
            </w:tcMar>
            <w:vAlign w:val="center"/>
            <w:hideMark/>
          </w:tcPr>
          <w:p w14:paraId="61BBA509"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Структурная: единая политика центробанков (форвардное ориентирование)</w:t>
            </w:r>
          </w:p>
        </w:tc>
        <w:tc>
          <w:tcPr>
            <w:tcW w:w="2977" w:type="dxa"/>
            <w:tcMar>
              <w:top w:w="150" w:type="dxa"/>
              <w:left w:w="240" w:type="dxa"/>
              <w:bottom w:w="150" w:type="dxa"/>
              <w:right w:w="0" w:type="dxa"/>
            </w:tcMar>
            <w:vAlign w:val="center"/>
            <w:hideMark/>
          </w:tcPr>
          <w:p w14:paraId="76B72E5F"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Конъюнктурная: пауза в повышении ставок на фоне замедления экономики</w:t>
            </w:r>
          </w:p>
        </w:tc>
      </w:tr>
      <w:tr w:rsidR="00247D28" w:rsidRPr="00546D98" w14:paraId="1AC17B34" w14:textId="77777777" w:rsidTr="00546D98">
        <w:tc>
          <w:tcPr>
            <w:tcW w:w="2552" w:type="dxa"/>
            <w:tcMar>
              <w:top w:w="150" w:type="dxa"/>
              <w:left w:w="0" w:type="dxa"/>
              <w:bottom w:w="150" w:type="dxa"/>
              <w:right w:w="240" w:type="dxa"/>
            </w:tcMar>
            <w:vAlign w:val="center"/>
            <w:hideMark/>
          </w:tcPr>
          <w:p w14:paraId="41DB3DF4"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b/>
                <w:bCs/>
                <w:kern w:val="0"/>
                <w:sz w:val="28"/>
                <w:szCs w:val="28"/>
                <w:lang w:eastAsia="ru-RU"/>
                <w14:ligatures w14:val="none"/>
              </w:rPr>
              <w:t>Геополитический фон</w:t>
            </w:r>
          </w:p>
        </w:tc>
        <w:tc>
          <w:tcPr>
            <w:tcW w:w="3260" w:type="dxa"/>
            <w:tcMar>
              <w:top w:w="150" w:type="dxa"/>
              <w:left w:w="240" w:type="dxa"/>
              <w:bottom w:w="150" w:type="dxa"/>
              <w:right w:w="240" w:type="dxa"/>
            </w:tcMar>
            <w:vAlign w:val="center"/>
            <w:hideMark/>
          </w:tcPr>
          <w:p w14:paraId="12E49BE0"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Спокойный (до событий весны 2014 года)</w:t>
            </w:r>
          </w:p>
        </w:tc>
        <w:tc>
          <w:tcPr>
            <w:tcW w:w="2977" w:type="dxa"/>
            <w:tcMar>
              <w:top w:w="150" w:type="dxa"/>
              <w:left w:w="240" w:type="dxa"/>
              <w:bottom w:w="150" w:type="dxa"/>
              <w:right w:w="0" w:type="dxa"/>
            </w:tcMar>
            <w:vAlign w:val="center"/>
            <w:hideMark/>
          </w:tcPr>
          <w:p w14:paraId="673C98DE"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 xml:space="preserve">Турбулентный (торговые войны, </w:t>
            </w:r>
            <w:proofErr w:type="spellStart"/>
            <w:r w:rsidRPr="00546D98">
              <w:rPr>
                <w:rFonts w:ascii="Times New Roman" w:eastAsia="Times New Roman" w:hAnsi="Times New Roman" w:cs="Times New Roman"/>
                <w:kern w:val="0"/>
                <w:sz w:val="28"/>
                <w:szCs w:val="28"/>
                <w:lang w:eastAsia="ru-RU"/>
                <w14:ligatures w14:val="none"/>
              </w:rPr>
              <w:t>Brexit</w:t>
            </w:r>
            <w:proofErr w:type="spellEnd"/>
            <w:r w:rsidRPr="00546D98">
              <w:rPr>
                <w:rFonts w:ascii="Times New Roman" w:eastAsia="Times New Roman" w:hAnsi="Times New Roman" w:cs="Times New Roman"/>
                <w:kern w:val="0"/>
                <w:sz w:val="28"/>
                <w:szCs w:val="28"/>
                <w:lang w:eastAsia="ru-RU"/>
                <w14:ligatures w14:val="none"/>
              </w:rPr>
              <w:t>)</w:t>
            </w:r>
          </w:p>
        </w:tc>
      </w:tr>
      <w:tr w:rsidR="00247D28" w:rsidRPr="00546D98" w14:paraId="37F4708F" w14:textId="77777777" w:rsidTr="00546D98">
        <w:tc>
          <w:tcPr>
            <w:tcW w:w="2552" w:type="dxa"/>
            <w:tcMar>
              <w:top w:w="150" w:type="dxa"/>
              <w:left w:w="0" w:type="dxa"/>
              <w:bottom w:w="150" w:type="dxa"/>
              <w:right w:w="240" w:type="dxa"/>
            </w:tcMar>
            <w:vAlign w:val="center"/>
            <w:hideMark/>
          </w:tcPr>
          <w:p w14:paraId="0BA04BB7"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b/>
                <w:bCs/>
                <w:kern w:val="0"/>
                <w:sz w:val="28"/>
                <w:szCs w:val="28"/>
                <w:lang w:eastAsia="ru-RU"/>
                <w14:ligatures w14:val="none"/>
              </w:rPr>
              <w:t>Статус «рекорда»</w:t>
            </w:r>
          </w:p>
        </w:tc>
        <w:tc>
          <w:tcPr>
            <w:tcW w:w="3260" w:type="dxa"/>
            <w:tcMar>
              <w:top w:w="150" w:type="dxa"/>
              <w:left w:w="240" w:type="dxa"/>
              <w:bottom w:w="150" w:type="dxa"/>
              <w:right w:w="240" w:type="dxa"/>
            </w:tcMar>
            <w:vAlign w:val="center"/>
            <w:hideMark/>
          </w:tcPr>
          <w:p w14:paraId="1F856C72"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 xml:space="preserve">Абсолютный исторический </w:t>
            </w:r>
            <w:r w:rsidRPr="00546D98">
              <w:rPr>
                <w:rFonts w:ascii="Times New Roman" w:eastAsia="Times New Roman" w:hAnsi="Times New Roman" w:cs="Times New Roman"/>
                <w:kern w:val="0"/>
                <w:sz w:val="28"/>
                <w:szCs w:val="28"/>
                <w:lang w:eastAsia="ru-RU"/>
                <w14:ligatures w14:val="none"/>
              </w:rPr>
              <w:lastRenderedPageBreak/>
              <w:t>минимум индексов волатильности</w:t>
            </w:r>
          </w:p>
        </w:tc>
        <w:tc>
          <w:tcPr>
            <w:tcW w:w="2977" w:type="dxa"/>
            <w:tcMar>
              <w:top w:w="150" w:type="dxa"/>
              <w:left w:w="240" w:type="dxa"/>
              <w:bottom w:w="150" w:type="dxa"/>
              <w:right w:w="0" w:type="dxa"/>
            </w:tcMar>
            <w:vAlign w:val="center"/>
            <w:hideMark/>
          </w:tcPr>
          <w:p w14:paraId="5C9E1765"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lastRenderedPageBreak/>
              <w:t xml:space="preserve">Второй минимум (ниже, чем в 2014, но </w:t>
            </w:r>
            <w:r w:rsidRPr="00546D98">
              <w:rPr>
                <w:rFonts w:ascii="Times New Roman" w:eastAsia="Times New Roman" w:hAnsi="Times New Roman" w:cs="Times New Roman"/>
                <w:kern w:val="0"/>
                <w:sz w:val="28"/>
                <w:szCs w:val="28"/>
                <w:lang w:eastAsia="ru-RU"/>
                <w14:ligatures w14:val="none"/>
              </w:rPr>
              <w:lastRenderedPageBreak/>
              <w:t>выше исторического дна)</w:t>
            </w:r>
          </w:p>
        </w:tc>
      </w:tr>
      <w:tr w:rsidR="00247D28" w:rsidRPr="00546D98" w14:paraId="38E07A20" w14:textId="77777777" w:rsidTr="00546D98">
        <w:tc>
          <w:tcPr>
            <w:tcW w:w="2552" w:type="dxa"/>
            <w:tcMar>
              <w:top w:w="150" w:type="dxa"/>
              <w:left w:w="0" w:type="dxa"/>
              <w:bottom w:w="150" w:type="dxa"/>
              <w:right w:w="240" w:type="dxa"/>
            </w:tcMar>
            <w:vAlign w:val="center"/>
            <w:hideMark/>
          </w:tcPr>
          <w:p w14:paraId="378EE2E2"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b/>
                <w:bCs/>
                <w:kern w:val="0"/>
                <w:sz w:val="28"/>
                <w:szCs w:val="28"/>
                <w:lang w:eastAsia="ru-RU"/>
                <w14:ligatures w14:val="none"/>
              </w:rPr>
              <w:lastRenderedPageBreak/>
              <w:t>Применимость к MOS</w:t>
            </w:r>
          </w:p>
        </w:tc>
        <w:tc>
          <w:tcPr>
            <w:tcW w:w="3260" w:type="dxa"/>
            <w:tcMar>
              <w:top w:w="150" w:type="dxa"/>
              <w:left w:w="240" w:type="dxa"/>
              <w:bottom w:w="150" w:type="dxa"/>
              <w:right w:w="240" w:type="dxa"/>
            </w:tcMar>
            <w:vAlign w:val="center"/>
            <w:hideMark/>
          </w:tcPr>
          <w:p w14:paraId="7FA2D622"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Идеальная «нулевая точка»: предсказуемость, отсутствие шоков, качественные данные</w:t>
            </w:r>
          </w:p>
        </w:tc>
        <w:tc>
          <w:tcPr>
            <w:tcW w:w="2977" w:type="dxa"/>
            <w:tcMar>
              <w:top w:w="150" w:type="dxa"/>
              <w:left w:w="240" w:type="dxa"/>
              <w:bottom w:w="150" w:type="dxa"/>
              <w:right w:w="0" w:type="dxa"/>
            </w:tcMar>
            <w:vAlign w:val="center"/>
            <w:hideMark/>
          </w:tcPr>
          <w:p w14:paraId="24FDD4FB" w14:textId="77777777" w:rsidR="00247D28" w:rsidRPr="00546D98" w:rsidRDefault="00247D28" w:rsidP="00546D98">
            <w:pPr>
              <w:spacing w:after="0" w:line="360" w:lineRule="auto"/>
              <w:rPr>
                <w:rFonts w:ascii="Times New Roman" w:eastAsia="Times New Roman" w:hAnsi="Times New Roman" w:cs="Times New Roman"/>
                <w:kern w:val="0"/>
                <w:sz w:val="28"/>
                <w:szCs w:val="28"/>
                <w:lang w:eastAsia="ru-RU"/>
                <w14:ligatures w14:val="none"/>
              </w:rPr>
            </w:pPr>
            <w:r w:rsidRPr="00546D98">
              <w:rPr>
                <w:rFonts w:ascii="Times New Roman" w:eastAsia="Times New Roman" w:hAnsi="Times New Roman" w:cs="Times New Roman"/>
                <w:kern w:val="0"/>
                <w:sz w:val="28"/>
                <w:szCs w:val="28"/>
                <w:lang w:eastAsia="ru-RU"/>
                <w14:ligatures w14:val="none"/>
              </w:rPr>
              <w:t>Хорошая, но требует оговорок о фоновых геополитических рисках</w:t>
            </w:r>
          </w:p>
        </w:tc>
      </w:tr>
    </w:tbl>
    <w:p w14:paraId="16B9E868"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 xml:space="preserve">6. Границы </w:t>
      </w:r>
      <w:proofErr w:type="gramStart"/>
      <w:r w:rsidRPr="00546D98">
        <w:rPr>
          <w:rFonts w:ascii="Times New Roman" w:eastAsia="Times New Roman" w:hAnsi="Times New Roman" w:cs="Times New Roman"/>
          <w:b/>
          <w:bCs/>
          <w:color w:val="0F1115"/>
          <w:kern w:val="0"/>
          <w:sz w:val="28"/>
          <w:szCs w:val="28"/>
          <w:lang w:eastAsia="ru-RU"/>
          <w14:ligatures w14:val="none"/>
        </w:rPr>
        <w:t>применимости</w:t>
      </w:r>
      <w:proofErr w:type="gramEnd"/>
      <w:r w:rsidRPr="00546D98">
        <w:rPr>
          <w:rFonts w:ascii="Times New Roman" w:eastAsia="Times New Roman" w:hAnsi="Times New Roman" w:cs="Times New Roman"/>
          <w:b/>
          <w:bCs/>
          <w:color w:val="0F1115"/>
          <w:kern w:val="0"/>
          <w:sz w:val="28"/>
          <w:szCs w:val="28"/>
          <w:lang w:eastAsia="ru-RU"/>
          <w14:ligatures w14:val="none"/>
        </w:rPr>
        <w:t xml:space="preserve"> выбранной BFP для IMB</w:t>
      </w:r>
    </w:p>
    <w:p w14:paraId="75159BE5"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Фиксация BFP в январе 2014 года, при всех её преимуществах, имеет методологические ограничения, которые важно учитывать при использовании IMB в договорной практике:</w:t>
      </w:r>
    </w:p>
    <w:p w14:paraId="590A9048" w14:textId="77777777" w:rsidR="00247D28" w:rsidRPr="00546D98" w:rsidRDefault="00247D28" w:rsidP="00546D98">
      <w:pPr>
        <w:numPr>
          <w:ilvl w:val="0"/>
          <w:numId w:val="4"/>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Зависимость от выбранного репера</w:t>
      </w:r>
      <w:r w:rsidRPr="00546D98">
        <w:rPr>
          <w:rFonts w:ascii="Times New Roman" w:eastAsia="Times New Roman" w:hAnsi="Times New Roman" w:cs="Times New Roman"/>
          <w:color w:val="0F1115"/>
          <w:kern w:val="0"/>
          <w:sz w:val="28"/>
          <w:szCs w:val="28"/>
          <w:lang w:eastAsia="ru-RU"/>
          <w14:ligatures w14:val="none"/>
        </w:rPr>
        <w:t>: В данной конфигурации в качестве репера IMB используется швейцарский франк (CHF). В январе 2014 года CHF уже находился под давлением ожиданий интервенций Швейцарского национального банка (SNB), что накладывает ограничения на использование CHF как единственного репера без дополнительной калибровки. Для IMB репер фиксируется единожды и не изменяется.</w:t>
      </w:r>
    </w:p>
    <w:p w14:paraId="054E102C" w14:textId="77777777" w:rsidR="00247D28" w:rsidRPr="00546D98" w:rsidRDefault="00247D28" w:rsidP="00546D98">
      <w:pPr>
        <w:numPr>
          <w:ilvl w:val="0"/>
          <w:numId w:val="4"/>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Аномально низкая волатильность как точка отсчёта</w:t>
      </w:r>
      <w:r w:rsidRPr="00546D98">
        <w:rPr>
          <w:rFonts w:ascii="Times New Roman" w:eastAsia="Times New Roman" w:hAnsi="Times New Roman" w:cs="Times New Roman"/>
          <w:color w:val="0F1115"/>
          <w:kern w:val="0"/>
          <w:sz w:val="28"/>
          <w:szCs w:val="28"/>
          <w:lang w:eastAsia="ru-RU"/>
          <w14:ligatures w14:val="none"/>
        </w:rPr>
        <w:t>: Фиксация BFP на историческом минимуме волатильности означает, что любые будущие сравнения будут отсчитываться от точки экстремально низкой рыночной напряжённости. Это не является недостатком метода, но требует осознанного подхода при интерпретации долгосрочных трендов, особенно в периоды повышенной турбулентности.</w:t>
      </w:r>
    </w:p>
    <w:p w14:paraId="1ECF1EAF" w14:textId="77777777" w:rsidR="00247D28" w:rsidRPr="00546D98" w:rsidRDefault="00247D28" w:rsidP="00546D98">
      <w:pPr>
        <w:numPr>
          <w:ilvl w:val="0"/>
          <w:numId w:val="4"/>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Смена монетарного режима после 2014 года</w:t>
      </w:r>
      <w:r w:rsidRPr="00546D98">
        <w:rPr>
          <w:rFonts w:ascii="Times New Roman" w:eastAsia="Times New Roman" w:hAnsi="Times New Roman" w:cs="Times New Roman"/>
          <w:color w:val="0F1115"/>
          <w:kern w:val="0"/>
          <w:sz w:val="28"/>
          <w:szCs w:val="28"/>
          <w:lang w:eastAsia="ru-RU"/>
          <w14:ligatures w14:val="none"/>
        </w:rPr>
        <w:t xml:space="preserve">: Отказ ФРС от форвардного ориентирования в последующие годы и переход к </w:t>
      </w:r>
      <w:r w:rsidRPr="00546D98">
        <w:rPr>
          <w:rFonts w:ascii="Times New Roman" w:eastAsia="Times New Roman" w:hAnsi="Times New Roman" w:cs="Times New Roman"/>
          <w:color w:val="0F1115"/>
          <w:kern w:val="0"/>
          <w:sz w:val="28"/>
          <w:szCs w:val="28"/>
          <w:lang w:eastAsia="ru-RU"/>
          <w14:ligatures w14:val="none"/>
        </w:rPr>
        <w:lastRenderedPageBreak/>
        <w:t>ужесточению политики означают, что BFP фиксирует соотношения в рамках режима, который более не воспроизводится. Это корректно для системы координат, фиксирующей начальные условия, но должно быть явно указано при использовании IMB для долгосрочных сравнений.</w:t>
      </w:r>
    </w:p>
    <w:p w14:paraId="0AD8E9FB" w14:textId="77777777" w:rsidR="00247D28" w:rsidRPr="00546D98" w:rsidRDefault="00247D28" w:rsidP="00546D98">
      <w:pPr>
        <w:numPr>
          <w:ilvl w:val="0"/>
          <w:numId w:val="4"/>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Особенность IMB в контексте шока SNB</w:t>
      </w:r>
      <w:r w:rsidRPr="00546D98">
        <w:rPr>
          <w:rFonts w:ascii="Times New Roman" w:eastAsia="Times New Roman" w:hAnsi="Times New Roman" w:cs="Times New Roman"/>
          <w:color w:val="0F1115"/>
          <w:kern w:val="0"/>
          <w:sz w:val="28"/>
          <w:szCs w:val="28"/>
          <w:lang w:eastAsia="ru-RU"/>
          <w14:ligatures w14:val="none"/>
        </w:rPr>
        <w:t>: Фиксация BFP на CHF в январе 2014 года происходит до шокового решения SNB (январь 2015 года). Это позволяет использовать IMB для объективного измерения масштаба этого шока: можно рассчитать, какой была бы стоимость CHF в единицах IMB, если бы SNB не отменил привязку. Таким образом, BFP в январе 2014 года предоставляет уникальную базовую точку для анализа экстремальных монетарных интервенций.</w:t>
      </w:r>
    </w:p>
    <w:p w14:paraId="3E9503D2"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7. Определения (в рамках данного документа)</w:t>
      </w:r>
    </w:p>
    <w:p w14:paraId="75C06D9F"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В соответствии с методологией MOS (версия 5.2):</w:t>
      </w:r>
    </w:p>
    <w:p w14:paraId="723A60E6" w14:textId="77777777" w:rsidR="00247D28" w:rsidRPr="00546D98" w:rsidRDefault="00247D28" w:rsidP="00546D98">
      <w:pPr>
        <w:numPr>
          <w:ilvl w:val="0"/>
          <w:numId w:val="5"/>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MOS (</w:t>
      </w:r>
      <w:proofErr w:type="spellStart"/>
      <w:r w:rsidRPr="00546D98">
        <w:rPr>
          <w:rFonts w:ascii="Times New Roman" w:eastAsia="Times New Roman" w:hAnsi="Times New Roman" w:cs="Times New Roman"/>
          <w:b/>
          <w:bCs/>
          <w:color w:val="0F1115"/>
          <w:kern w:val="0"/>
          <w:sz w:val="28"/>
          <w:szCs w:val="28"/>
          <w:lang w:eastAsia="ru-RU"/>
          <w14:ligatures w14:val="none"/>
        </w:rPr>
        <w:t>Multidimensional</w:t>
      </w:r>
      <w:proofErr w:type="spellEnd"/>
      <w:r w:rsidRPr="00546D98">
        <w:rPr>
          <w:rFonts w:ascii="Times New Roman" w:eastAsia="Times New Roman" w:hAnsi="Times New Roman" w:cs="Times New Roman"/>
          <w:b/>
          <w:bCs/>
          <w:color w:val="0F1115"/>
          <w:kern w:val="0"/>
          <w:sz w:val="28"/>
          <w:szCs w:val="28"/>
          <w:lang w:eastAsia="ru-RU"/>
          <w14:ligatures w14:val="none"/>
        </w:rPr>
        <w:t xml:space="preserve"> </w:t>
      </w:r>
      <w:proofErr w:type="spellStart"/>
      <w:r w:rsidRPr="00546D98">
        <w:rPr>
          <w:rFonts w:ascii="Times New Roman" w:eastAsia="Times New Roman" w:hAnsi="Times New Roman" w:cs="Times New Roman"/>
          <w:b/>
          <w:bCs/>
          <w:color w:val="0F1115"/>
          <w:kern w:val="0"/>
          <w:sz w:val="28"/>
          <w:szCs w:val="28"/>
          <w:lang w:eastAsia="ru-RU"/>
          <w14:ligatures w14:val="none"/>
        </w:rPr>
        <w:t>Coordinate</w:t>
      </w:r>
      <w:proofErr w:type="spellEnd"/>
      <w:r w:rsidRPr="00546D98">
        <w:rPr>
          <w:rFonts w:ascii="Times New Roman" w:eastAsia="Times New Roman" w:hAnsi="Times New Roman" w:cs="Times New Roman"/>
          <w:b/>
          <w:bCs/>
          <w:color w:val="0F1115"/>
          <w:kern w:val="0"/>
          <w:sz w:val="28"/>
          <w:szCs w:val="28"/>
          <w:lang w:eastAsia="ru-RU"/>
          <w14:ligatures w14:val="none"/>
        </w:rPr>
        <w:t xml:space="preserve"> Space)</w:t>
      </w:r>
      <w:r w:rsidRPr="00546D98">
        <w:rPr>
          <w:rFonts w:ascii="Times New Roman" w:eastAsia="Times New Roman" w:hAnsi="Times New Roman" w:cs="Times New Roman"/>
          <w:color w:val="0F1115"/>
          <w:kern w:val="0"/>
          <w:sz w:val="28"/>
          <w:szCs w:val="28"/>
          <w:lang w:eastAsia="ru-RU"/>
          <w14:ligatures w14:val="none"/>
        </w:rPr>
        <w:t> — методология многомерного координатного пространства, искусственная конструкция для размещения экономических величин в единой системе отсчёта с фиксированными параметрами.</w:t>
      </w:r>
    </w:p>
    <w:p w14:paraId="44A44660" w14:textId="77777777" w:rsidR="00247D28" w:rsidRPr="00546D98" w:rsidRDefault="00247D28" w:rsidP="00546D98">
      <w:pPr>
        <w:numPr>
          <w:ilvl w:val="0"/>
          <w:numId w:val="5"/>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 xml:space="preserve">IMB (International </w:t>
      </w:r>
      <w:proofErr w:type="spellStart"/>
      <w:r w:rsidRPr="00546D98">
        <w:rPr>
          <w:rFonts w:ascii="Times New Roman" w:eastAsia="Times New Roman" w:hAnsi="Times New Roman" w:cs="Times New Roman"/>
          <w:b/>
          <w:bCs/>
          <w:color w:val="0F1115"/>
          <w:kern w:val="0"/>
          <w:sz w:val="28"/>
          <w:szCs w:val="28"/>
          <w:lang w:eastAsia="ru-RU"/>
          <w14:ligatures w14:val="none"/>
        </w:rPr>
        <w:t>Monetary</w:t>
      </w:r>
      <w:proofErr w:type="spellEnd"/>
      <w:r w:rsidRPr="00546D98">
        <w:rPr>
          <w:rFonts w:ascii="Times New Roman" w:eastAsia="Times New Roman" w:hAnsi="Times New Roman" w:cs="Times New Roman"/>
          <w:b/>
          <w:bCs/>
          <w:color w:val="0F1115"/>
          <w:kern w:val="0"/>
          <w:sz w:val="28"/>
          <w:szCs w:val="28"/>
          <w:lang w:eastAsia="ru-RU"/>
          <w14:ligatures w14:val="none"/>
        </w:rPr>
        <w:t xml:space="preserve"> </w:t>
      </w:r>
      <w:proofErr w:type="spellStart"/>
      <w:r w:rsidRPr="00546D98">
        <w:rPr>
          <w:rFonts w:ascii="Times New Roman" w:eastAsia="Times New Roman" w:hAnsi="Times New Roman" w:cs="Times New Roman"/>
          <w:b/>
          <w:bCs/>
          <w:color w:val="0F1115"/>
          <w:kern w:val="0"/>
          <w:sz w:val="28"/>
          <w:szCs w:val="28"/>
          <w:lang w:eastAsia="ru-RU"/>
          <w14:ligatures w14:val="none"/>
        </w:rPr>
        <w:t>Benchmark</w:t>
      </w:r>
      <w:proofErr w:type="spellEnd"/>
      <w:r w:rsidRPr="00546D98">
        <w:rPr>
          <w:rFonts w:ascii="Times New Roman" w:eastAsia="Times New Roman" w:hAnsi="Times New Roman" w:cs="Times New Roman"/>
          <w:b/>
          <w:bCs/>
          <w:color w:val="0F1115"/>
          <w:kern w:val="0"/>
          <w:sz w:val="28"/>
          <w:szCs w:val="28"/>
          <w:lang w:eastAsia="ru-RU"/>
          <w14:ligatures w14:val="none"/>
        </w:rPr>
        <w:t>)</w:t>
      </w:r>
      <w:r w:rsidRPr="00546D98">
        <w:rPr>
          <w:rFonts w:ascii="Times New Roman" w:eastAsia="Times New Roman" w:hAnsi="Times New Roman" w:cs="Times New Roman"/>
          <w:color w:val="0F1115"/>
          <w:kern w:val="0"/>
          <w:sz w:val="28"/>
          <w:szCs w:val="28"/>
          <w:lang w:eastAsia="ru-RU"/>
          <w14:ligatures w14:val="none"/>
        </w:rPr>
        <w:t> — институциональная (договорная) единица счёта с фиксированными параметрами (BFP, метод расчёта CCV), предназначенная для использования в контрактах и биржевых индикаторах.</w:t>
      </w:r>
    </w:p>
    <w:p w14:paraId="6D2C9D39" w14:textId="77777777" w:rsidR="00247D28" w:rsidRPr="00546D98" w:rsidRDefault="00247D28" w:rsidP="00546D98">
      <w:pPr>
        <w:numPr>
          <w:ilvl w:val="0"/>
          <w:numId w:val="5"/>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BFP (Base Financial Point)</w:t>
      </w:r>
      <w:r w:rsidRPr="00546D98">
        <w:rPr>
          <w:rFonts w:ascii="Times New Roman" w:eastAsia="Times New Roman" w:hAnsi="Times New Roman" w:cs="Times New Roman"/>
          <w:color w:val="0F1115"/>
          <w:kern w:val="0"/>
          <w:sz w:val="28"/>
          <w:szCs w:val="28"/>
          <w:lang w:eastAsia="ru-RU"/>
          <w14:ligatures w14:val="none"/>
        </w:rPr>
        <w:t> — базисная финансовая точка, фиксированный момент времени (временная координата), в который определяются статические курсы всех валют к IMB.</w:t>
      </w:r>
    </w:p>
    <w:p w14:paraId="6398976E" w14:textId="77777777" w:rsidR="00247D28" w:rsidRPr="00546D98" w:rsidRDefault="00247D28" w:rsidP="00546D98">
      <w:pPr>
        <w:numPr>
          <w:ilvl w:val="0"/>
          <w:numId w:val="5"/>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 xml:space="preserve">CCV (Cost Change </w:t>
      </w:r>
      <w:proofErr w:type="spellStart"/>
      <w:r w:rsidRPr="00546D98">
        <w:rPr>
          <w:rFonts w:ascii="Times New Roman" w:eastAsia="Times New Roman" w:hAnsi="Times New Roman" w:cs="Times New Roman"/>
          <w:b/>
          <w:bCs/>
          <w:color w:val="0F1115"/>
          <w:kern w:val="0"/>
          <w:sz w:val="28"/>
          <w:szCs w:val="28"/>
          <w:lang w:eastAsia="ru-RU"/>
          <w14:ligatures w14:val="none"/>
        </w:rPr>
        <w:t>Coefficient</w:t>
      </w:r>
      <w:proofErr w:type="spellEnd"/>
      <w:r w:rsidRPr="00546D98">
        <w:rPr>
          <w:rFonts w:ascii="Times New Roman" w:eastAsia="Times New Roman" w:hAnsi="Times New Roman" w:cs="Times New Roman"/>
          <w:b/>
          <w:bCs/>
          <w:color w:val="0F1115"/>
          <w:kern w:val="0"/>
          <w:sz w:val="28"/>
          <w:szCs w:val="28"/>
          <w:lang w:eastAsia="ru-RU"/>
          <w14:ligatures w14:val="none"/>
        </w:rPr>
        <w:t>)</w:t>
      </w:r>
      <w:r w:rsidRPr="00546D98">
        <w:rPr>
          <w:rFonts w:ascii="Times New Roman" w:eastAsia="Times New Roman" w:hAnsi="Times New Roman" w:cs="Times New Roman"/>
          <w:color w:val="0F1115"/>
          <w:kern w:val="0"/>
          <w:sz w:val="28"/>
          <w:szCs w:val="28"/>
          <w:lang w:eastAsia="ru-RU"/>
          <w14:ligatures w14:val="none"/>
        </w:rPr>
        <w:t> — коэффициент изменения стоимости, показывающий отношение текущей реальной стоимости актива (очищенной от инфляции валюты номинации) к его стоимости на дату BFP.</w:t>
      </w:r>
    </w:p>
    <w:p w14:paraId="6FF63D63" w14:textId="77777777" w:rsidR="00247D28" w:rsidRPr="00546D98" w:rsidRDefault="00247D28" w:rsidP="00546D98">
      <w:pPr>
        <w:numPr>
          <w:ilvl w:val="0"/>
          <w:numId w:val="5"/>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lastRenderedPageBreak/>
        <w:t>Репер (</w:t>
      </w:r>
      <w:proofErr w:type="spellStart"/>
      <w:r w:rsidRPr="00546D98">
        <w:rPr>
          <w:rFonts w:ascii="Times New Roman" w:eastAsia="Times New Roman" w:hAnsi="Times New Roman" w:cs="Times New Roman"/>
          <w:b/>
          <w:bCs/>
          <w:color w:val="0F1115"/>
          <w:kern w:val="0"/>
          <w:sz w:val="28"/>
          <w:szCs w:val="28"/>
          <w:lang w:eastAsia="ru-RU"/>
          <w14:ligatures w14:val="none"/>
        </w:rPr>
        <w:t>Reper</w:t>
      </w:r>
      <w:proofErr w:type="spellEnd"/>
      <w:r w:rsidRPr="00546D98">
        <w:rPr>
          <w:rFonts w:ascii="Times New Roman" w:eastAsia="Times New Roman" w:hAnsi="Times New Roman" w:cs="Times New Roman"/>
          <w:b/>
          <w:bCs/>
          <w:color w:val="0F1115"/>
          <w:kern w:val="0"/>
          <w:sz w:val="28"/>
          <w:szCs w:val="28"/>
          <w:lang w:eastAsia="ru-RU"/>
          <w14:ligatures w14:val="none"/>
        </w:rPr>
        <w:t>)</w:t>
      </w:r>
      <w:r w:rsidRPr="00546D98">
        <w:rPr>
          <w:rFonts w:ascii="Times New Roman" w:eastAsia="Times New Roman" w:hAnsi="Times New Roman" w:cs="Times New Roman"/>
          <w:color w:val="0F1115"/>
          <w:kern w:val="0"/>
          <w:sz w:val="28"/>
          <w:szCs w:val="28"/>
          <w:lang w:eastAsia="ru-RU"/>
          <w14:ligatures w14:val="none"/>
        </w:rPr>
        <w:t> — способ реализации единицы IMB, например, конкретная валюта (CHF), товарная корзина или индекс. Для IMB репер фиксируется единожды.</w:t>
      </w:r>
    </w:p>
    <w:p w14:paraId="549DE46B"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b/>
          <w:bCs/>
          <w:color w:val="0F1115"/>
          <w:kern w:val="0"/>
          <w:sz w:val="28"/>
          <w:szCs w:val="28"/>
          <w:lang w:eastAsia="ru-RU"/>
          <w14:ligatures w14:val="none"/>
        </w:rPr>
        <w:t>Заключение</w:t>
      </w:r>
    </w:p>
    <w:p w14:paraId="4850B49D"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Выбор </w:t>
      </w:r>
      <w:r w:rsidRPr="00546D98">
        <w:rPr>
          <w:rFonts w:ascii="Times New Roman" w:eastAsia="Times New Roman" w:hAnsi="Times New Roman" w:cs="Times New Roman"/>
          <w:b/>
          <w:bCs/>
          <w:color w:val="0F1115"/>
          <w:kern w:val="0"/>
          <w:sz w:val="28"/>
          <w:szCs w:val="28"/>
          <w:lang w:eastAsia="ru-RU"/>
          <w14:ligatures w14:val="none"/>
        </w:rPr>
        <w:t>января 2014 года</w:t>
      </w:r>
      <w:r w:rsidRPr="00546D98">
        <w:rPr>
          <w:rFonts w:ascii="Times New Roman" w:eastAsia="Times New Roman" w:hAnsi="Times New Roman" w:cs="Times New Roman"/>
          <w:color w:val="0F1115"/>
          <w:kern w:val="0"/>
          <w:sz w:val="28"/>
          <w:szCs w:val="28"/>
          <w:lang w:eastAsia="ru-RU"/>
          <w14:ligatures w14:val="none"/>
        </w:rPr>
        <w:t> в качестве базисной финансовой точки для институционального уровня методологии MOS (IMB) более обоснован, чем альтернативные даты, поскольку этот период представляет собой </w:t>
      </w:r>
      <w:r w:rsidRPr="00546D98">
        <w:rPr>
          <w:rFonts w:ascii="Times New Roman" w:eastAsia="Times New Roman" w:hAnsi="Times New Roman" w:cs="Times New Roman"/>
          <w:b/>
          <w:bCs/>
          <w:color w:val="0F1115"/>
          <w:kern w:val="0"/>
          <w:sz w:val="28"/>
          <w:szCs w:val="28"/>
          <w:lang w:eastAsia="ru-RU"/>
          <w14:ligatures w14:val="none"/>
        </w:rPr>
        <w:t>глобальный минимум системной неопределённости</w:t>
      </w:r>
      <w:r w:rsidRPr="00546D98">
        <w:rPr>
          <w:rFonts w:ascii="Times New Roman" w:eastAsia="Times New Roman" w:hAnsi="Times New Roman" w:cs="Times New Roman"/>
          <w:color w:val="0F1115"/>
          <w:kern w:val="0"/>
          <w:sz w:val="28"/>
          <w:szCs w:val="28"/>
          <w:lang w:eastAsia="ru-RU"/>
          <w14:ligatures w14:val="none"/>
        </w:rPr>
        <w:t> в современной истории финансовых рынков.</w:t>
      </w:r>
    </w:p>
    <w:p w14:paraId="5B2DB969"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Это момент, когда валютные рынки были максимально «очищены» от спекулятивной составляющей благодаря:</w:t>
      </w:r>
    </w:p>
    <w:p w14:paraId="042ECAD6" w14:textId="77777777" w:rsidR="00247D28" w:rsidRPr="00546D98" w:rsidRDefault="00247D28" w:rsidP="00546D98">
      <w:pPr>
        <w:numPr>
          <w:ilvl w:val="0"/>
          <w:numId w:val="6"/>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институциональной прозрачности центробанков;</w:t>
      </w:r>
    </w:p>
    <w:p w14:paraId="1228377B" w14:textId="77777777" w:rsidR="00247D28" w:rsidRPr="00546D98" w:rsidRDefault="00247D28" w:rsidP="00546D98">
      <w:pPr>
        <w:numPr>
          <w:ilvl w:val="0"/>
          <w:numId w:val="6"/>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отсутствию крупных геополитических шоков;</w:t>
      </w:r>
    </w:p>
    <w:p w14:paraId="2BE524F4" w14:textId="77777777" w:rsidR="00247D28" w:rsidRPr="00546D98" w:rsidRDefault="00247D28" w:rsidP="00546D98">
      <w:pPr>
        <w:numPr>
          <w:ilvl w:val="0"/>
          <w:numId w:val="6"/>
        </w:numPr>
        <w:shd w:val="clear" w:color="auto" w:fill="FFFFFF"/>
        <w:spacing w:after="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документально зафиксированному историческому минимуму волатильности.</w:t>
      </w:r>
    </w:p>
    <w:p w14:paraId="10C7721F"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color w:val="0F1115"/>
          <w:kern w:val="0"/>
          <w:sz w:val="28"/>
          <w:szCs w:val="28"/>
          <w:lang w:eastAsia="ru-RU"/>
          <w14:ligatures w14:val="none"/>
        </w:rPr>
        <w:t>Фиксация BFP в этой точке позволяет создать систему координат, в которой последующие изменения стоимости активов и валют могут измеряться с минимальными искажениями, связанными с выбором начальных условий. Предлагаемые параметры (BFP = 01.01.2014, репер = CHF, метод расчёта CCV = CPI стран G20) составляют основу IMB как договорной единицы счёта, обеспечивающей неизменность методологии для долгосрочных контрактов и финансовых индикаторов.</w:t>
      </w:r>
    </w:p>
    <w:p w14:paraId="4E71BBB2" w14:textId="77777777" w:rsidR="00247D28" w:rsidRPr="00546D98" w:rsidRDefault="00247D28" w:rsidP="00546D98">
      <w:pPr>
        <w:shd w:val="clear" w:color="auto" w:fill="FFFFFF"/>
        <w:spacing w:before="240" w:after="240" w:line="360" w:lineRule="auto"/>
        <w:rPr>
          <w:rFonts w:ascii="Times New Roman" w:eastAsia="Times New Roman" w:hAnsi="Times New Roman" w:cs="Times New Roman"/>
          <w:color w:val="0F1115"/>
          <w:kern w:val="0"/>
          <w:sz w:val="28"/>
          <w:szCs w:val="28"/>
          <w:lang w:eastAsia="ru-RU"/>
          <w14:ligatures w14:val="none"/>
        </w:rPr>
      </w:pPr>
      <w:r w:rsidRPr="00546D98">
        <w:rPr>
          <w:rFonts w:ascii="Times New Roman" w:eastAsia="Times New Roman" w:hAnsi="Times New Roman" w:cs="Times New Roman"/>
          <w:i/>
          <w:iCs/>
          <w:color w:val="0F1115"/>
          <w:kern w:val="0"/>
          <w:sz w:val="28"/>
          <w:szCs w:val="28"/>
          <w:lang w:eastAsia="ru-RU"/>
          <w14:ligatures w14:val="none"/>
        </w:rPr>
        <w:t>Документ подготовлен в рамках методологического обоснования системы MOS. Версия, согласованная с МКП (MOS) Версия 5.2.</w:t>
      </w:r>
    </w:p>
    <w:p w14:paraId="52917185" w14:textId="77777777" w:rsidR="00130D63" w:rsidRPr="00546D98" w:rsidRDefault="00130D63" w:rsidP="00546D98">
      <w:pPr>
        <w:spacing w:line="360" w:lineRule="auto"/>
        <w:rPr>
          <w:rFonts w:ascii="Times New Roman" w:hAnsi="Times New Roman" w:cs="Times New Roman"/>
          <w:sz w:val="28"/>
          <w:szCs w:val="28"/>
        </w:rPr>
      </w:pPr>
    </w:p>
    <w:sectPr w:rsidR="00130D63" w:rsidRPr="00546D98" w:rsidSect="00546D98">
      <w:pgSz w:w="11906" w:h="16838"/>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3703"/>
    <w:multiLevelType w:val="multilevel"/>
    <w:tmpl w:val="7FC4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A700F"/>
    <w:multiLevelType w:val="multilevel"/>
    <w:tmpl w:val="9A02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80675"/>
    <w:multiLevelType w:val="multilevel"/>
    <w:tmpl w:val="D41C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BC028E"/>
    <w:multiLevelType w:val="multilevel"/>
    <w:tmpl w:val="68BE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394D4E"/>
    <w:multiLevelType w:val="multilevel"/>
    <w:tmpl w:val="03064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7964D2"/>
    <w:multiLevelType w:val="multilevel"/>
    <w:tmpl w:val="4F306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903502">
    <w:abstractNumId w:val="0"/>
  </w:num>
  <w:num w:numId="2" w16cid:durableId="1235776505">
    <w:abstractNumId w:val="5"/>
  </w:num>
  <w:num w:numId="3" w16cid:durableId="1762947018">
    <w:abstractNumId w:val="4"/>
  </w:num>
  <w:num w:numId="4" w16cid:durableId="466437878">
    <w:abstractNumId w:val="2"/>
  </w:num>
  <w:num w:numId="5" w16cid:durableId="722872641">
    <w:abstractNumId w:val="1"/>
  </w:num>
  <w:num w:numId="6" w16cid:durableId="8282073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D28"/>
    <w:rsid w:val="00021817"/>
    <w:rsid w:val="00130D63"/>
    <w:rsid w:val="00247D28"/>
    <w:rsid w:val="00546D98"/>
    <w:rsid w:val="005569D1"/>
    <w:rsid w:val="00971B29"/>
    <w:rsid w:val="00B754AE"/>
    <w:rsid w:val="00D30A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0F8E7"/>
  <w15:chartTrackingRefBased/>
  <w15:docId w15:val="{D50786C0-4D04-4C42-B400-48FD6A828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47D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47D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47D2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47D2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47D2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47D2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47D2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47D2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47D2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47D2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47D2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47D2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47D2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47D2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47D2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47D28"/>
    <w:rPr>
      <w:rFonts w:eastAsiaTheme="majorEastAsia" w:cstheme="majorBidi"/>
      <w:color w:val="595959" w:themeColor="text1" w:themeTint="A6"/>
    </w:rPr>
  </w:style>
  <w:style w:type="character" w:customStyle="1" w:styleId="80">
    <w:name w:val="Заголовок 8 Знак"/>
    <w:basedOn w:val="a0"/>
    <w:link w:val="8"/>
    <w:uiPriority w:val="9"/>
    <w:semiHidden/>
    <w:rsid w:val="00247D2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47D28"/>
    <w:rPr>
      <w:rFonts w:eastAsiaTheme="majorEastAsia" w:cstheme="majorBidi"/>
      <w:color w:val="272727" w:themeColor="text1" w:themeTint="D8"/>
    </w:rPr>
  </w:style>
  <w:style w:type="paragraph" w:styleId="a3">
    <w:name w:val="Title"/>
    <w:basedOn w:val="a"/>
    <w:next w:val="a"/>
    <w:link w:val="a4"/>
    <w:uiPriority w:val="10"/>
    <w:qFormat/>
    <w:rsid w:val="00247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47D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7D2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47D2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47D28"/>
    <w:pPr>
      <w:spacing w:before="160"/>
      <w:jc w:val="center"/>
    </w:pPr>
    <w:rPr>
      <w:i/>
      <w:iCs/>
      <w:color w:val="404040" w:themeColor="text1" w:themeTint="BF"/>
    </w:rPr>
  </w:style>
  <w:style w:type="character" w:customStyle="1" w:styleId="22">
    <w:name w:val="Цитата 2 Знак"/>
    <w:basedOn w:val="a0"/>
    <w:link w:val="21"/>
    <w:uiPriority w:val="29"/>
    <w:rsid w:val="00247D28"/>
    <w:rPr>
      <w:i/>
      <w:iCs/>
      <w:color w:val="404040" w:themeColor="text1" w:themeTint="BF"/>
    </w:rPr>
  </w:style>
  <w:style w:type="paragraph" w:styleId="a7">
    <w:name w:val="List Paragraph"/>
    <w:basedOn w:val="a"/>
    <w:uiPriority w:val="34"/>
    <w:qFormat/>
    <w:rsid w:val="00247D28"/>
    <w:pPr>
      <w:ind w:left="720"/>
      <w:contextualSpacing/>
    </w:pPr>
  </w:style>
  <w:style w:type="character" w:styleId="a8">
    <w:name w:val="Intense Emphasis"/>
    <w:basedOn w:val="a0"/>
    <w:uiPriority w:val="21"/>
    <w:qFormat/>
    <w:rsid w:val="00247D28"/>
    <w:rPr>
      <w:i/>
      <w:iCs/>
      <w:color w:val="2F5496" w:themeColor="accent1" w:themeShade="BF"/>
    </w:rPr>
  </w:style>
  <w:style w:type="paragraph" w:styleId="a9">
    <w:name w:val="Intense Quote"/>
    <w:basedOn w:val="a"/>
    <w:next w:val="a"/>
    <w:link w:val="aa"/>
    <w:uiPriority w:val="30"/>
    <w:qFormat/>
    <w:rsid w:val="00247D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47D28"/>
    <w:rPr>
      <w:i/>
      <w:iCs/>
      <w:color w:val="2F5496" w:themeColor="accent1" w:themeShade="BF"/>
    </w:rPr>
  </w:style>
  <w:style w:type="character" w:styleId="ab">
    <w:name w:val="Intense Reference"/>
    <w:basedOn w:val="a0"/>
    <w:uiPriority w:val="32"/>
    <w:qFormat/>
    <w:rsid w:val="00247D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1753</Words>
  <Characters>9997</Characters>
  <Application>Microsoft Office Word</Application>
  <DocSecurity>0</DocSecurity>
  <Lines>83</Lines>
  <Paragraphs>23</Paragraphs>
  <ScaleCrop>false</ScaleCrop>
  <Company/>
  <LinksUpToDate>false</LinksUpToDate>
  <CharactersWithSpaces>11727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 мок</dc:creator>
  <cp:keywords/>
  <dc:description/>
  <cp:lastModifiedBy>влад мок</cp:lastModifiedBy>
  <cp:revision>4</cp:revision>
  <dcterms:created xsi:type="dcterms:W3CDTF">2026-03-31T15:06:00Z</dcterms:created>
  <dcterms:modified xsi:type="dcterms:W3CDTF">2026-04-23T04:21:00Z</dcterms:modified>
</cp:coreProperties>
</file>