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A7A4A"/>
          <w:sz w:val="52"/>
          <w:szCs w:val="52"/>
        </w:rPr>
        <w:t xml:space="preserve">MOSAICO ENGINE ASSESSMENT</w:t>
      </w:r>
    </w:p>
    <w:p>
      <w:pPr>
        <w:spacing w:after="80" w:before="0"/>
      </w:pPr>
      <w:r>
        <w:rPr>
          <w:rFonts w:ascii="Arial" w:cs="Arial" w:eastAsia="Arial" w:hAnsi="Arial"/>
          <w:color w:val="64748B"/>
          <w:sz w:val="28"/>
          <w:szCs w:val="28"/>
        </w:rPr>
        <w:t xml:space="preserve">Project PRD &amp; Continuation Guide</w:t>
      </w:r>
    </w:p>
    <w:p>
      <w:pPr>
        <w:pBdr>
          <w:bottom w:val="single" w:color="1A7A4A" w:sz="8" w:space="8"/>
        </w:pBdr>
        <w:spacing w:after="480" w:before="0"/>
      </w:pPr>
      <w:r>
        <w:rPr>
          <w:rFonts w:ascii="Arial" w:cs="Arial" w:eastAsia="Arial" w:hAnsi="Arial"/>
          <w:color w:val="64748B"/>
          <w:sz w:val="18"/>
          <w:szCs w:val="18"/>
        </w:rPr>
        <w:t xml:space="preserve">Last updated: April 2026  •  Version 0.4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00"/>
              <w:bottom w:type="dxa" w:w="160"/>
              <w:right w:type="dxa" w:w="200"/>
            </w:tcMar>
          </w:tcPr>
          <w:p>
            <w:r>
              <w:rPr>
                <w:rFonts w:ascii="Arial" w:cs="Arial" w:eastAsia="Arial" w:hAnsi="Arial"/>
                <w:b/>
                <w:bCs/>
                <w:color w:val="1A7A4A"/>
                <w:sz w:val="18"/>
                <w:szCs w:val="18"/>
              </w:rPr>
              <w:t xml:space="preserve">HOW TO USE THIS DOCUMENT</w:t>
            </w:r>
          </w:p>
          <w:p>
            <w:pPr>
              <w:spacing w:after="60" w:before="60"/>
            </w:pPr>
            <w:r>
              <w:t xml:space="preserve"/>
            </w:r>
          </w:p>
          <w:p>
            <w:r>
              <w:rPr>
                <w:rFonts w:ascii="Arial" w:cs="Arial" w:eastAsia="Arial" w:hAnsi="Arial"/>
                <w:color w:val="1E293B"/>
                <w:sz w:val="18"/>
                <w:szCs w:val="18"/>
              </w:rPr>
              <w:t xml:space="preserve">This document is the single source of truth for the Mosaico Engine Assessment project. It captures what has been built, key architectural decisions, pending work, and the reasoning behind product choices. Paste it into a new Claude Code or Cowork session at the start of any work session to restore full context.</w:t>
            </w:r>
          </w:p>
        </w:tc>
      </w:tr>
    </w:tbl>
    <w:p>
      <w:pPr>
        <w:spacing w:after="0" w:before="24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Product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Mosaico Engine Assessment — a B2C consulting diagnostic tool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Purpose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Diagnose client maturity across 3 engines and 15 pillars. Output personalized Mosaico playbook recommendations.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Audience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B2C companies (ecommerce, retail, consumer brands). Assessment filled by senior management or leadership.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Stack</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Next.js 15 (App Router) + next-intl + Supabase + PostgreSQL + Tailwind CSS + Vercel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Repo</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github.com/ricardhm/mosaico-engine-assessment (public)</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Live URL</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mosaico-engine-assessment.vercel.app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Languages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Spanish (default) + English (switcher). All content in both languages.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Status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Beta — deployed, team testing in progress</w:t>
            </w:r>
          </w:p>
        </w:tc>
      </w:tr>
    </w:tbl>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2. Assessment Structure</w:t>
      </w:r>
    </w:p>
    <w:p>
      <w:pPr>
        <w:pStyle w:val="Heading2"/>
        <w:spacing w:after="120" w:before="280"/>
      </w:pPr>
      <w:r>
        <w:rPr>
          <w:rFonts w:ascii="Arial" w:cs="Arial" w:eastAsia="Arial" w:hAnsi="Arial"/>
          <w:b/>
          <w:bCs/>
          <w:color w:val="1E293B"/>
          <w:sz w:val="26"/>
          <w:szCs w:val="26"/>
        </w:rPr>
        <w:t xml:space="preserve">Engines &amp; Pillars</w:t>
      </w:r>
    </w:p>
    <w:p>
      <w:pPr>
        <w:spacing w:after="80" w:before="80"/>
      </w:pPr>
      <w:r>
        <w:rPr>
          <w:rFonts w:ascii="Arial" w:cs="Arial" w:eastAsia="Arial" w:hAnsi="Arial"/>
          <w:color w:val="1E293B"/>
          <w:sz w:val="20"/>
          <w:szCs w:val="20"/>
        </w:rPr>
        <w:t xml:space="preserve">The assessment covers 3 engines × 5 pillars × 4 questions = 60 questions total. Answers are on a 1–5 Likert scale.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Engine</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Pillar ID</w:t>
            </w:r>
          </w:p>
        </w:tc>
        <w:tc>
          <w:tcPr>
            <w:tcW w:type="dxa" w:w="60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Pillar Name</w:t>
            </w:r>
          </w:p>
        </w:tc>
      </w:tr>
      <w:tr>
        <w:tc>
          <w:tcPr>
            <w:tcW w:type="dxa" w:w="9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Growth</w:t>
            </w:r>
          </w:p>
        </w:tc>
        <w:tc>
          <w:tcPr>
            <w:tcW w:type="dxa" w:w="24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G1</w:t>
            </w:r>
          </w:p>
        </w:tc>
        <w:tc>
          <w:tcPr>
            <w:tcW w:type="dxa" w:w="606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Customer Data Infrastructure</w:t>
            </w:r>
          </w:p>
        </w:tc>
      </w:tr>
      <w:tr>
        <w:tc>
          <w:tcPr>
            <w:tcW w:type="dxa" w:w="9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Growth</w:t>
            </w:r>
          </w:p>
        </w:tc>
        <w:tc>
          <w:tcPr>
            <w:tcW w:type="dxa" w:w="24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G2</w:t>
            </w:r>
          </w:p>
        </w:tc>
        <w:tc>
          <w:tcPr>
            <w:tcW w:type="dxa" w:w="606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Segmentation &amp; Personalization</w:t>
            </w:r>
          </w:p>
        </w:tc>
      </w:tr>
      <w:tr>
        <w:tc>
          <w:tcPr>
            <w:tcW w:type="dxa" w:w="9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Growth</w:t>
            </w:r>
          </w:p>
        </w:tc>
        <w:tc>
          <w:tcPr>
            <w:tcW w:type="dxa" w:w="24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G3</w:t>
            </w:r>
          </w:p>
        </w:tc>
        <w:tc>
          <w:tcPr>
            <w:tcW w:type="dxa" w:w="606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Lifecycle &amp; Retention Marketing</w:t>
            </w:r>
          </w:p>
        </w:tc>
      </w:tr>
      <w:tr>
        <w:tc>
          <w:tcPr>
            <w:tcW w:type="dxa" w:w="9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Growth</w:t>
            </w:r>
          </w:p>
        </w:tc>
        <w:tc>
          <w:tcPr>
            <w:tcW w:type="dxa" w:w="24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G4</w:t>
            </w:r>
          </w:p>
        </w:tc>
        <w:tc>
          <w:tcPr>
            <w:tcW w:type="dxa" w:w="606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Paid &amp; Owned Channel Optimization</w:t>
            </w:r>
          </w:p>
        </w:tc>
      </w:tr>
      <w:tr>
        <w:tc>
          <w:tcPr>
            <w:tcW w:type="dxa" w:w="9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Growth</w:t>
            </w:r>
          </w:p>
        </w:tc>
        <w:tc>
          <w:tcPr>
            <w:tcW w:type="dxa" w:w="240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G5</w:t>
            </w:r>
          </w:p>
        </w:tc>
        <w:tc>
          <w:tcPr>
            <w:tcW w:type="dxa" w:w="6060"/>
            <w:tcBorders>
              <w:top w:val="single" w:color="E2E8F0" w:sz="1"/>
              <w:left w:val="single" w:color="E2E8F0" w:sz="1"/>
              <w:bottom w:val="single" w:color="E2E8F0" w:sz="1"/>
              <w:right w:val="single" w:color="E2E8F0" w:sz="1"/>
            </w:tcBorders>
            <w:shd w:fill="F0FDF4" w:val="clear"/>
            <w:tcMar>
              <w:top w:type="dxa" w:w="60"/>
              <w:left w:type="dxa" w:w="120"/>
              <w:bottom w:type="dxa" w:w="60"/>
              <w:right w:type="dxa" w:w="120"/>
            </w:tcMar>
          </w:tcPr>
          <w:p>
            <w:r>
              <w:rPr>
                <w:rFonts w:ascii="Arial" w:cs="Arial" w:eastAsia="Arial" w:hAnsi="Arial"/>
                <w:color w:val="1E293B"/>
                <w:sz w:val="18"/>
                <w:szCs w:val="18"/>
              </w:rPr>
              <w:t xml:space="preserve">Revenue Analytics &amp; Forecasting</w:t>
            </w:r>
          </w:p>
        </w:tc>
      </w:tr>
      <w:tr>
        <w:tc>
          <w:tcPr>
            <w:tcW w:type="dxa" w:w="9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Efficiency</w:t>
            </w:r>
          </w:p>
        </w:tc>
        <w:tc>
          <w:tcPr>
            <w:tcW w:type="dxa" w:w="24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E1</w:t>
            </w:r>
          </w:p>
        </w:tc>
        <w:tc>
          <w:tcPr>
            <w:tcW w:type="dxa" w:w="60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Data Governance &amp; Single Source of Truth</w:t>
            </w:r>
          </w:p>
        </w:tc>
      </w:tr>
      <w:tr>
        <w:tc>
          <w:tcPr>
            <w:tcW w:type="dxa" w:w="9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Efficiency</w:t>
            </w:r>
          </w:p>
        </w:tc>
        <w:tc>
          <w:tcPr>
            <w:tcW w:type="dxa" w:w="24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E2</w:t>
            </w:r>
          </w:p>
        </w:tc>
        <w:tc>
          <w:tcPr>
            <w:tcW w:type="dxa" w:w="60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Data Trust &amp; Quality</w:t>
            </w:r>
          </w:p>
        </w:tc>
      </w:tr>
      <w:tr>
        <w:tc>
          <w:tcPr>
            <w:tcW w:type="dxa" w:w="9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Efficiency</w:t>
            </w:r>
          </w:p>
        </w:tc>
        <w:tc>
          <w:tcPr>
            <w:tcW w:type="dxa" w:w="24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E3</w:t>
            </w:r>
          </w:p>
        </w:tc>
        <w:tc>
          <w:tcPr>
            <w:tcW w:type="dxa" w:w="60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AI &amp; Automation Readiness</w:t>
            </w:r>
          </w:p>
        </w:tc>
      </w:tr>
      <w:tr>
        <w:tc>
          <w:tcPr>
            <w:tcW w:type="dxa" w:w="9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Efficiency</w:t>
            </w:r>
          </w:p>
        </w:tc>
        <w:tc>
          <w:tcPr>
            <w:tcW w:type="dxa" w:w="24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E4</w:t>
            </w:r>
          </w:p>
        </w:tc>
        <w:tc>
          <w:tcPr>
            <w:tcW w:type="dxa" w:w="60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Process Efficiency &amp; Profitability</w:t>
            </w:r>
          </w:p>
        </w:tc>
      </w:tr>
      <w:tr>
        <w:tc>
          <w:tcPr>
            <w:tcW w:type="dxa" w:w="9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Efficiency</w:t>
            </w:r>
          </w:p>
        </w:tc>
        <w:tc>
          <w:tcPr>
            <w:tcW w:type="dxa" w:w="24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E5</w:t>
            </w:r>
          </w:p>
        </w:tc>
        <w:tc>
          <w:tcPr>
            <w:tcW w:type="dxa" w:w="60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Arial" w:cs="Arial" w:eastAsia="Arial" w:hAnsi="Arial"/>
                <w:color w:val="1E293B"/>
                <w:sz w:val="18"/>
                <w:szCs w:val="18"/>
              </w:rPr>
              <w:t xml:space="preserve">Operational Scalability</w:t>
            </w:r>
          </w:p>
        </w:tc>
      </w:tr>
      <w:tr>
        <w:tc>
          <w:tcPr>
            <w:tcW w:type="dxa" w:w="9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Adaptability</w:t>
            </w:r>
          </w:p>
        </w:tc>
        <w:tc>
          <w:tcPr>
            <w:tcW w:type="dxa" w:w="24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A1</w:t>
            </w:r>
          </w:p>
        </w:tc>
        <w:tc>
          <w:tcPr>
            <w:tcW w:type="dxa" w:w="606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Technology Stack &amp; Integration</w:t>
            </w:r>
          </w:p>
        </w:tc>
      </w:tr>
      <w:tr>
        <w:tc>
          <w:tcPr>
            <w:tcW w:type="dxa" w:w="9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Adaptability</w:t>
            </w:r>
          </w:p>
        </w:tc>
        <w:tc>
          <w:tcPr>
            <w:tcW w:type="dxa" w:w="24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A2</w:t>
            </w:r>
          </w:p>
        </w:tc>
        <w:tc>
          <w:tcPr>
            <w:tcW w:type="dxa" w:w="606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Process Documentation &amp; Standardization</w:t>
            </w:r>
          </w:p>
        </w:tc>
      </w:tr>
      <w:tr>
        <w:tc>
          <w:tcPr>
            <w:tcW w:type="dxa" w:w="9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Adaptability</w:t>
            </w:r>
          </w:p>
        </w:tc>
        <w:tc>
          <w:tcPr>
            <w:tcW w:type="dxa" w:w="24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A3</w:t>
            </w:r>
          </w:p>
        </w:tc>
        <w:tc>
          <w:tcPr>
            <w:tcW w:type="dxa" w:w="606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Organizational Alignment &amp; Decision Velocity</w:t>
            </w:r>
          </w:p>
        </w:tc>
      </w:tr>
      <w:tr>
        <w:tc>
          <w:tcPr>
            <w:tcW w:type="dxa" w:w="9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Adaptability</w:t>
            </w:r>
          </w:p>
        </w:tc>
        <w:tc>
          <w:tcPr>
            <w:tcW w:type="dxa" w:w="24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A4</w:t>
            </w:r>
          </w:p>
        </w:tc>
        <w:tc>
          <w:tcPr>
            <w:tcW w:type="dxa" w:w="606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Data Literacy &amp; Tooling Adoption</w:t>
            </w:r>
          </w:p>
        </w:tc>
      </w:tr>
      <w:tr>
        <w:tc>
          <w:tcPr>
            <w:tcW w:type="dxa" w:w="9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Adaptability</w:t>
            </w:r>
          </w:p>
        </w:tc>
        <w:tc>
          <w:tcPr>
            <w:tcW w:type="dxa" w:w="240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A5</w:t>
            </w:r>
          </w:p>
        </w:tc>
        <w:tc>
          <w:tcPr>
            <w:tcW w:type="dxa" w:w="6060"/>
            <w:tcBorders>
              <w:top w:val="single" w:color="E2E8F0" w:sz="1"/>
              <w:left w:val="single" w:color="E2E8F0" w:sz="1"/>
              <w:bottom w:val="single" w:color="E2E8F0" w:sz="1"/>
              <w:right w:val="single" w:color="E2E8F0" w:sz="1"/>
            </w:tcBorders>
            <w:shd w:fill="FFFBEB" w:val="clear"/>
            <w:tcMar>
              <w:top w:type="dxa" w:w="60"/>
              <w:left w:type="dxa" w:w="120"/>
              <w:bottom w:type="dxa" w:w="60"/>
              <w:right w:type="dxa" w:w="120"/>
            </w:tcMar>
          </w:tcPr>
          <w:p>
            <w:r>
              <w:rPr>
                <w:rFonts w:ascii="Arial" w:cs="Arial" w:eastAsia="Arial" w:hAnsi="Arial"/>
                <w:color w:val="1E293B"/>
                <w:sz w:val="18"/>
                <w:szCs w:val="18"/>
              </w:rPr>
              <w:t xml:space="preserve">Change Management &amp; Continuous Improvement</w:t>
            </w:r>
          </w:p>
        </w:tc>
      </w:tr>
    </w:tbl>
    <w:p>
      <w:pPr>
        <w:spacing w:after="80" w:before="160"/>
      </w:pPr>
      <w:r>
        <w:t xml:space="preserve"/>
      </w:r>
    </w:p>
    <w:p>
      <w:pPr>
        <w:pStyle w:val="Heading2"/>
        <w:spacing w:after="120" w:before="280"/>
      </w:pPr>
      <w:r>
        <w:rPr>
          <w:rFonts w:ascii="Arial" w:cs="Arial" w:eastAsia="Arial" w:hAnsi="Arial"/>
          <w:b/>
          <w:bCs/>
          <w:color w:val="1E293B"/>
          <w:sz w:val="26"/>
          <w:szCs w:val="26"/>
        </w:rPr>
        <w:t xml:space="preserve">Scoring</w:t>
      </w:r>
    </w:p>
    <w:p>
      <w:pPr>
        <w:pStyle w:val="ListParagraph"/>
        <w:numPr>
          <w:ilvl w:val="0"/>
          <w:numId w:val="2"/>
        </w:numPr>
        <w:spacing w:after="40" w:before="40"/>
        <w:ind w:left="360" w:hanging="360"/>
      </w:pPr>
      <w:r>
        <w:rPr>
          <w:rFonts w:ascii="Arial" w:cs="Arial" w:eastAsia="Arial" w:hAnsi="Arial"/>
          <w:color w:val="1E293B"/>
          <w:sz w:val="20"/>
          <w:szCs w:val="20"/>
        </w:rPr>
        <w:t xml:space="preserve">Each pillar score = average of its 4 question scores (1.0–5.0)</w:t>
      </w:r>
    </w:p>
    <w:p>
      <w:pPr>
        <w:pStyle w:val="ListParagraph"/>
        <w:numPr>
          <w:ilvl w:val="0"/>
          <w:numId w:val="2"/>
        </w:numPr>
        <w:spacing w:after="40" w:before="40"/>
        <w:ind w:left="360" w:hanging="360"/>
      </w:pPr>
      <w:r>
        <w:rPr>
          <w:rFonts w:ascii="Arial" w:cs="Arial" w:eastAsia="Arial" w:hAnsi="Arial"/>
          <w:color w:val="1E293B"/>
          <w:sz w:val="20"/>
          <w:szCs w:val="20"/>
        </w:rPr>
        <w:t xml:space="preserve">Each engine score = average of its 5 pillar scores</w:t>
      </w:r>
    </w:p>
    <w:p>
      <w:pPr>
        <w:pStyle w:val="ListParagraph"/>
        <w:numPr>
          <w:ilvl w:val="0"/>
          <w:numId w:val="2"/>
        </w:numPr>
        <w:spacing w:after="40" w:before="40"/>
        <w:ind w:left="360" w:hanging="360"/>
      </w:pPr>
      <w:r>
        <w:rPr>
          <w:rFonts w:ascii="Arial" w:cs="Arial" w:eastAsia="Arial" w:hAnsi="Arial"/>
          <w:color w:val="1E293B"/>
          <w:sz w:val="20"/>
          <w:szCs w:val="20"/>
        </w:rPr>
        <w:t xml:space="preserve">Overall score = average of 3 engine scores</w:t>
      </w:r>
    </w:p>
    <w:p>
      <w:pPr>
        <w:pStyle w:val="ListParagraph"/>
        <w:numPr>
          <w:ilvl w:val="0"/>
          <w:numId w:val="2"/>
        </w:numPr>
        <w:spacing w:after="40" w:before="40"/>
        <w:ind w:left="360" w:hanging="360"/>
      </w:pPr>
      <w:r>
        <w:rPr>
          <w:rFonts w:ascii="Arial" w:cs="Arial" w:eastAsia="Arial" w:hAnsi="Arial"/>
          <w:color w:val="1E293B"/>
          <w:sz w:val="20"/>
          <w:szCs w:val="20"/>
        </w:rPr>
        <w:t xml:space="preserve">Maturity tiers: Foundational (&lt;2.5) → Developing (&lt;3.3) → Scaling (≤4.0) → Leading (&gt;4.0)</w:t>
      </w:r>
    </w:p>
    <w:p>
      <w:pPr>
        <w:pStyle w:val="ListParagraph"/>
        <w:numPr>
          <w:ilvl w:val="0"/>
          <w:numId w:val="2"/>
        </w:numPr>
        <w:spacing w:after="40" w:before="40"/>
        <w:ind w:left="360" w:hanging="360"/>
      </w:pPr>
      <w:r>
        <w:rPr>
          <w:rFonts w:ascii="Arial" w:cs="Arial" w:eastAsia="Arial" w:hAnsi="Arial"/>
          <w:color w:val="1E293B"/>
          <w:sz w:val="20"/>
          <w:szCs w:val="20"/>
        </w:rPr>
        <w:t xml:space="preserve">Cross-engine flags: adaptabilityFirst, growthOverEfficiency, efficiencyOverGrowth</w:t>
      </w:r>
    </w:p>
    <w:p>
      <w:pPr>
        <w:pStyle w:val="ListParagraph"/>
        <w:numPr>
          <w:ilvl w:val="0"/>
          <w:numId w:val="2"/>
        </w:numPr>
        <w:spacing w:after="40" w:before="40"/>
        <w:ind w:left="360" w:hanging="360"/>
      </w:pPr>
      <w:r>
        <w:rPr>
          <w:rFonts w:ascii="Arial" w:cs="Arial" w:eastAsia="Arial" w:hAnsi="Arial"/>
          <w:color w:val="1E293B"/>
          <w:sz w:val="20"/>
          <w:szCs w:val="20"/>
        </w:rPr>
        <w:t xml:space="preserve">Recommendations: Mosaico playbooks mapped to each pillar at each maturity tier</w:t>
      </w:r>
    </w:p>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3. Technical Architecture</w:t>
      </w:r>
    </w:p>
    <w:p>
      <w:pPr>
        <w:pStyle w:val="Heading2"/>
        <w:spacing w:after="120" w:before="280"/>
      </w:pPr>
      <w:r>
        <w:rPr>
          <w:rFonts w:ascii="Arial" w:cs="Arial" w:eastAsia="Arial" w:hAnsi="Arial"/>
          <w:b/>
          <w:bCs/>
          <w:color w:val="1E293B"/>
          <w:sz w:val="26"/>
          <w:szCs w:val="26"/>
        </w:rPr>
        <w:t xml:space="preserve">Key Files &amp;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lib/questions/en.ts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60 questions in English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lib/questions/es.ts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60 questions in Spanish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lib/recommendations/en.ts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Pillar recommendations per tier (EN), referencing Mosaico playbooks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lib/recommendations/es.ts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Same in Spanish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lib/scoring.ts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Score computation, tier logic, cross-engine flags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lib/questions/types.ts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Types: Engine, PillarId, Question, ENGINE_PILLARS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messages/en.json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UI strings in English (pillar names, engine labels, UI copy)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messages/es.json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Same in Spanish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app/[locale]/admin/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Admin dashboard (sessions list, session detail, analytics)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app/[locale]/admin/analytics/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Portfolio Analytics page (Phase 4)</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app/[locale]/s/[token]/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Client-facing assessment flow</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app/api/admin/sessions/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CRUD for sessions (auth required)</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app/api/admin/analytics/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Aggregated analytics endpoint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app/api/session/[token]/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Public session API (no auth)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components/admin/AdminShell.tsx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Admin layout with nav (Sessions + Analytics tabs)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components/admin/AuthProvider.tsx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Supabase auth context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middleware.ts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next-intl locale routing (excludes /api/* routes)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supabase/schema.sql</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Full DB schema</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F172A"/>
                <w:sz w:val="17"/>
                <w:szCs w:val="17"/>
              </w:rPr>
              <w:t xml:space="preserve">i18n/routing.ts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64748B"/>
                <w:sz w:val="17"/>
                <w:szCs w:val="17"/>
              </w:rPr>
              <w:t xml:space="preserve">Locale config: locales=[es,en], defaultLocale=es, prefix=always</w:t>
            </w:r>
          </w:p>
        </w:tc>
      </w:tr>
    </w:tbl>
    <w:p>
      <w:pPr>
        <w:spacing w:after="80" w:before="160"/>
      </w:pPr>
      <w:r>
        <w:t xml:space="preserve"/>
      </w:r>
    </w:p>
    <w:p>
      <w:pPr>
        <w:pStyle w:val="Heading2"/>
        <w:spacing w:after="120" w:before="280"/>
      </w:pPr>
      <w:r>
        <w:rPr>
          <w:rFonts w:ascii="Arial" w:cs="Arial" w:eastAsia="Arial" w:hAnsi="Arial"/>
          <w:b/>
          <w:bCs/>
          <w:color w:val="1E293B"/>
          <w:sz w:val="26"/>
          <w:szCs w:val="26"/>
        </w:rPr>
        <w:t xml:space="preserve">Database Tables</w:t>
      </w:r>
    </w:p>
    <w:p>
      <w:pPr>
        <w:pStyle w:val="ListParagraph"/>
        <w:numPr>
          <w:ilvl w:val="0"/>
          <w:numId w:val="2"/>
        </w:numPr>
        <w:spacing w:after="40" w:before="40"/>
        <w:ind w:left="360" w:hanging="360"/>
      </w:pPr>
      <w:r>
        <w:rPr>
          <w:rFonts w:ascii="Arial" w:cs="Arial" w:eastAsia="Arial" w:hAnsi="Arial"/>
          <w:color w:val="1E293B"/>
          <w:sz w:val="20"/>
          <w:szCs w:val="20"/>
        </w:rPr>
        <w:t xml:space="preserve">sessions — company info, contact, status (pending/in_progress/completed), consultant_id, token</w:t>
      </w:r>
    </w:p>
    <w:p>
      <w:pPr>
        <w:pStyle w:val="ListParagraph"/>
        <w:numPr>
          <w:ilvl w:val="0"/>
          <w:numId w:val="2"/>
        </w:numPr>
        <w:spacing w:after="40" w:before="40"/>
        <w:ind w:left="360" w:hanging="360"/>
      </w:pPr>
      <w:r>
        <w:rPr>
          <w:rFonts w:ascii="Arial" w:cs="Arial" w:eastAsia="Arial" w:hAnsi="Arial"/>
          <w:color w:val="1E293B"/>
          <w:sz w:val="20"/>
          <w:szCs w:val="20"/>
        </w:rPr>
        <w:t xml:space="preserve">responses — session_id, question_id, score (1–5). Unique per (session, question). Saved per pillar completion.</w:t>
      </w:r>
    </w:p>
    <w:p>
      <w:pPr>
        <w:pStyle w:val="ListParagraph"/>
        <w:numPr>
          <w:ilvl w:val="0"/>
          <w:numId w:val="2"/>
        </w:numPr>
        <w:spacing w:after="40" w:before="40"/>
        <w:ind w:left="360" w:hanging="360"/>
      </w:pPr>
      <w:r>
        <w:rPr>
          <w:rFonts w:ascii="Arial" w:cs="Arial" w:eastAsia="Arial" w:hAnsi="Arial"/>
          <w:color w:val="1E293B"/>
          <w:sz w:val="20"/>
          <w:szCs w:val="20"/>
        </w:rPr>
        <w:t xml:space="preserve">scores — JSONB: pillar_scores, engine_scores, overall_score, tiers. Written on assessment completion.</w:t>
      </w:r>
    </w:p>
    <w:p>
      <w:pPr>
        <w:pStyle w:val="ListParagraph"/>
        <w:numPr>
          <w:ilvl w:val="0"/>
          <w:numId w:val="2"/>
        </w:numPr>
        <w:spacing w:after="40" w:before="40"/>
        <w:ind w:left="360" w:hanging="360"/>
      </w:pPr>
      <w:r>
        <w:rPr>
          <w:rFonts w:ascii="Arial" w:cs="Arial" w:eastAsia="Arial" w:hAnsi="Arial"/>
          <w:color w:val="1E293B"/>
          <w:sz w:val="20"/>
          <w:szCs w:val="20"/>
        </w:rPr>
        <w:t xml:space="preserve">notes — consultant internal notes per engine. One note per engine per session. Auto-upsert.</w:t>
      </w:r>
    </w:p>
    <w:p>
      <w:pPr>
        <w:pStyle w:val="ListParagraph"/>
        <w:numPr>
          <w:ilvl w:val="0"/>
          <w:numId w:val="2"/>
        </w:numPr>
        <w:spacing w:after="40" w:before="40"/>
        <w:ind w:left="360" w:hanging="360"/>
      </w:pPr>
      <w:r>
        <w:rPr>
          <w:rFonts w:ascii="Arial" w:cs="Arial" w:eastAsia="Arial" w:hAnsi="Arial"/>
          <w:color w:val="1E293B"/>
          <w:sz w:val="20"/>
          <w:szCs w:val="20"/>
        </w:rPr>
        <w:t xml:space="preserve">admin_users — extends Supabase auth. Roles: consultant / admin.</w:t>
      </w:r>
    </w:p>
    <w:p>
      <w:pPr>
        <w:spacing w:after="40" w:before="80"/>
      </w:pPr>
      <w:r>
        <w:t xml:space="preserve"/>
      </w:r>
    </w:p>
    <w:p>
      <w:pPr>
        <w:pStyle w:val="Heading2"/>
        <w:spacing w:after="120" w:before="280"/>
      </w:pPr>
      <w:r>
        <w:rPr>
          <w:rFonts w:ascii="Arial" w:cs="Arial" w:eastAsia="Arial" w:hAnsi="Arial"/>
          <w:b/>
          <w:bCs/>
          <w:color w:val="1E293B"/>
          <w:sz w:val="26"/>
          <w:szCs w:val="26"/>
        </w:rPr>
        <w:t xml:space="preserve">Critical Bugs Fixed</w:t>
      </w:r>
    </w:p>
    <w:p>
      <w:pPr>
        <w:pStyle w:val="ListParagraph"/>
        <w:numPr>
          <w:ilvl w:val="0"/>
          <w:numId w:val="2"/>
        </w:numPr>
        <w:spacing w:after="40" w:before="40"/>
        <w:ind w:left="360" w:hanging="360"/>
      </w:pPr>
      <w:r>
        <w:rPr>
          <w:rFonts w:ascii="Arial" w:cs="Arial" w:eastAsia="Arial" w:hAnsi="Arial"/>
          <w:color w:val="1E293B"/>
          <w:sz w:val="20"/>
          <w:szCs w:val="20"/>
        </w:rPr>
        <w:t xml:space="preserve">Middleware was applying locale prefix to /api/ routes → fixed by adding api| to matcher exclusion.</w:t>
      </w:r>
    </w:p>
    <w:p>
      <w:pPr>
        <w:pStyle w:val="ListParagraph"/>
        <w:numPr>
          <w:ilvl w:val="0"/>
          <w:numId w:val="2"/>
        </w:numPr>
        <w:spacing w:after="40" w:before="40"/>
        <w:ind w:left="360" w:hanging="360"/>
      </w:pPr>
      <w:r>
        <w:rPr>
          <w:rFonts w:ascii="Arial" w:cs="Arial" w:eastAsia="Arial" w:hAnsi="Arial"/>
          <w:color w:val="1E293B"/>
          <w:sz w:val="20"/>
          <w:szCs w:val="20"/>
        </w:rPr>
        <w:t xml:space="preserve">Session layout was fetching its own API via localhost:3000 → refactored to query Supabase directly.</w:t>
      </w:r>
    </w:p>
    <w:p>
      <w:pPr>
        <w:pStyle w:val="ListParagraph"/>
        <w:numPr>
          <w:ilvl w:val="0"/>
          <w:numId w:val="2"/>
        </w:numPr>
        <w:spacing w:after="40" w:before="40"/>
        <w:ind w:left="360" w:hanging="360"/>
      </w:pPr>
      <w:r>
        <w:rPr>
          <w:rFonts w:ascii="Arial" w:cs="Arial" w:eastAsia="Arial" w:hAnsi="Arial"/>
          <w:color w:val="1E293B"/>
          <w:sz w:val="20"/>
          <w:szCs w:val="20"/>
        </w:rPr>
        <w:t xml:space="preserve">usePathname() was called after early return in AdminShell → moved to top of component.</w:t>
      </w:r>
    </w:p>
    <w:p>
      <w:pPr>
        <w:pStyle w:val="ListParagraph"/>
        <w:numPr>
          <w:ilvl w:val="0"/>
          <w:numId w:val="2"/>
        </w:numPr>
        <w:spacing w:after="40" w:before="40"/>
        <w:ind w:left="360" w:hanging="360"/>
      </w:pPr>
      <w:r>
        <w:rPr>
          <w:rFonts w:ascii="Arial" w:cs="Arial" w:eastAsia="Arial" w:hAnsi="Arial"/>
          <w:color w:val="1E293B"/>
          <w:sz w:val="20"/>
          <w:szCs w:val="20"/>
        </w:rPr>
        <w:t xml:space="preserve">Next.js 15: params must be awaited (Promise&lt;{locale}&gt;) in page components.</w:t>
      </w:r>
    </w:p>
    <w:p>
      <w:pPr>
        <w:pStyle w:val="ListParagraph"/>
        <w:numPr>
          <w:ilvl w:val="0"/>
          <w:numId w:val="2"/>
        </w:numPr>
        <w:spacing w:after="40" w:before="40"/>
        <w:ind w:left="360" w:hanging="360"/>
      </w:pPr>
      <w:r>
        <w:rPr>
          <w:rFonts w:ascii="Arial" w:cs="Arial" w:eastAsia="Arial" w:hAnsi="Arial"/>
          <w:color w:val="1E293B"/>
          <w:sz w:val="20"/>
          <w:szCs w:val="20"/>
        </w:rPr>
        <w:t xml:space="preserve">results.critical i18n key missing → needs to be fixed (see Pending Work).</w:t>
      </w:r>
    </w:p>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4. What Has Been Built (Phases 1–4)</w:t>
      </w:r>
    </w:p>
    <w:p>
      <w:pPr>
        <w:pStyle w:val="Heading3"/>
        <w:spacing w:after="80" w:before="200"/>
      </w:pPr>
      <w:r>
        <w:rPr>
          <w:rFonts w:ascii="Arial" w:cs="Arial" w:eastAsia="Arial" w:hAnsi="Arial"/>
          <w:b/>
          <w:bCs/>
          <w:color w:val="1A7A4A"/>
          <w:sz w:val="22"/>
          <w:szCs w:val="22"/>
        </w:rPr>
        <w:t xml:space="preserve">Phase 1–3 — Core App</w:t>
      </w:r>
    </w:p>
    <w:p>
      <w:pPr>
        <w:pStyle w:val="ListParagraph"/>
        <w:numPr>
          <w:ilvl w:val="0"/>
          <w:numId w:val="2"/>
        </w:numPr>
        <w:spacing w:after="40" w:before="40"/>
        <w:ind w:left="360" w:hanging="360"/>
      </w:pPr>
      <w:r>
        <w:rPr>
          <w:rFonts w:ascii="Arial" w:cs="Arial" w:eastAsia="Arial" w:hAnsi="Arial"/>
          <w:color w:val="1E293B"/>
          <w:sz w:val="20"/>
          <w:szCs w:val="20"/>
        </w:rPr>
        <w:t xml:space="preserve">Full assessment flow: session creation → unique token link → 60-question 3-engine quiz → score computation → results page</w:t>
      </w:r>
    </w:p>
    <w:p>
      <w:pPr>
        <w:pStyle w:val="ListParagraph"/>
        <w:numPr>
          <w:ilvl w:val="0"/>
          <w:numId w:val="2"/>
        </w:numPr>
        <w:spacing w:after="40" w:before="40"/>
        <w:ind w:left="360" w:hanging="360"/>
      </w:pPr>
      <w:r>
        <w:rPr>
          <w:rFonts w:ascii="Arial" w:cs="Arial" w:eastAsia="Arial" w:hAnsi="Arial"/>
          <w:color w:val="1E293B"/>
          <w:sz w:val="20"/>
          <w:szCs w:val="20"/>
        </w:rPr>
        <w:t xml:space="preserve">Admin dashboard: session list, session detail with scores, cross-engine flags, recommendations, consultant notes</w:t>
      </w:r>
    </w:p>
    <w:p>
      <w:pPr>
        <w:pStyle w:val="ListParagraph"/>
        <w:numPr>
          <w:ilvl w:val="0"/>
          <w:numId w:val="2"/>
        </w:numPr>
        <w:spacing w:after="40" w:before="40"/>
        <w:ind w:left="360" w:hanging="360"/>
      </w:pPr>
      <w:r>
        <w:rPr>
          <w:rFonts w:ascii="Arial" w:cs="Arial" w:eastAsia="Arial" w:hAnsi="Arial"/>
          <w:color w:val="1E293B"/>
          <w:sz w:val="20"/>
          <w:szCs w:val="20"/>
        </w:rPr>
        <w:t xml:space="preserve">Supabase auth for admin users. Public (no auth) assessment link flow.</w:t>
      </w:r>
    </w:p>
    <w:p>
      <w:pPr>
        <w:pStyle w:val="ListParagraph"/>
        <w:numPr>
          <w:ilvl w:val="0"/>
          <w:numId w:val="2"/>
        </w:numPr>
        <w:spacing w:after="40" w:before="40"/>
        <w:ind w:left="360" w:hanging="360"/>
      </w:pPr>
      <w:r>
        <w:rPr>
          <w:rFonts w:ascii="Arial" w:cs="Arial" w:eastAsia="Arial" w:hAnsi="Arial"/>
          <w:color w:val="1E293B"/>
          <w:sz w:val="20"/>
          <w:szCs w:val="20"/>
        </w:rPr>
        <w:t xml:space="preserve">Bilingual (ES/EN) throughout. ES is default. Locale switcher in admin header.</w:t>
      </w:r>
    </w:p>
    <w:p>
      <w:pPr>
        <w:pStyle w:val="Heading3"/>
        <w:spacing w:after="80" w:before="200"/>
      </w:pPr>
      <w:r>
        <w:rPr>
          <w:rFonts w:ascii="Arial" w:cs="Arial" w:eastAsia="Arial" w:hAnsi="Arial"/>
          <w:b/>
          <w:bCs/>
          <w:color w:val="1A7A4A"/>
          <w:sz w:val="22"/>
          <w:szCs w:val="22"/>
        </w:rPr>
        <w:t xml:space="preserve">Phase 4 — Completed</w:t>
      </w:r>
    </w:p>
    <w:p>
      <w:pPr>
        <w:pStyle w:val="ListParagraph"/>
        <w:numPr>
          <w:ilvl w:val="0"/>
          <w:numId w:val="2"/>
        </w:numPr>
        <w:spacing w:after="40" w:before="40"/>
        <w:ind w:left="360" w:hanging="360"/>
      </w:pPr>
      <w:r>
        <w:rPr>
          <w:rFonts w:ascii="Arial" w:cs="Arial" w:eastAsia="Arial" w:hAnsi="Arial"/>
          <w:color w:val="1E293B"/>
          <w:sz w:val="20"/>
          <w:szCs w:val="20"/>
        </w:rPr>
        <w:t xml:space="preserve">Efficiency engine fully restructured: replaced 20 ecommerce-focused questions with 5 new pillars aligned to Mosaico playbooks (Data Governance, Data Trust, AI &amp; Automation, Process Efficiency, Operational Scalability).</w:t>
      </w:r>
    </w:p>
    <w:p>
      <w:pPr>
        <w:pStyle w:val="ListParagraph"/>
        <w:numPr>
          <w:ilvl w:val="0"/>
          <w:numId w:val="2"/>
        </w:numPr>
        <w:spacing w:after="40" w:before="40"/>
        <w:ind w:left="360" w:hanging="360"/>
      </w:pPr>
      <w:r>
        <w:rPr>
          <w:rFonts w:ascii="Arial" w:cs="Arial" w:eastAsia="Arial" w:hAnsi="Arial"/>
          <w:color w:val="1E293B"/>
          <w:sz w:val="20"/>
          <w:szCs w:val="20"/>
        </w:rPr>
        <w:t xml:space="preserve">All 60 questions + recommendations rewritten and aligned to Mosaico B2C playbooks in both languages.</w:t>
      </w:r>
    </w:p>
    <w:p>
      <w:pPr>
        <w:pStyle w:val="ListParagraph"/>
        <w:numPr>
          <w:ilvl w:val="0"/>
          <w:numId w:val="2"/>
        </w:numPr>
        <w:spacing w:after="40" w:before="40"/>
        <w:ind w:left="360" w:hanging="360"/>
      </w:pPr>
      <w:r>
        <w:rPr>
          <w:rFonts w:ascii="Arial" w:cs="Arial" w:eastAsia="Arial" w:hAnsi="Arial"/>
          <w:color w:val="1E293B"/>
          <w:sz w:val="20"/>
          <w:szCs w:val="20"/>
        </w:rPr>
        <w:t xml:space="preserve">Admin Analytics dashboard: Portfolio KPIs, engine score cards with tier distribution, 15-pillar ranking (weakest first, top 5 highlighted), cross-engine flag frequency.</w:t>
      </w:r>
    </w:p>
    <w:p>
      <w:pPr>
        <w:pStyle w:val="ListParagraph"/>
        <w:numPr>
          <w:ilvl w:val="0"/>
          <w:numId w:val="2"/>
        </w:numPr>
        <w:spacing w:after="40" w:before="40"/>
        <w:ind w:left="360" w:hanging="360"/>
      </w:pPr>
      <w:r>
        <w:rPr>
          <w:rFonts w:ascii="Arial" w:cs="Arial" w:eastAsia="Arial" w:hAnsi="Arial"/>
          <w:color w:val="1E293B"/>
          <w:sz w:val="20"/>
          <w:szCs w:val="20"/>
        </w:rPr>
        <w:t xml:space="preserve">Analytics nav tab added to AdminShell.</w:t>
      </w:r>
    </w:p>
    <w:p>
      <w:pPr>
        <w:pStyle w:val="ListParagraph"/>
        <w:numPr>
          <w:ilvl w:val="0"/>
          <w:numId w:val="2"/>
        </w:numPr>
        <w:spacing w:after="40" w:before="40"/>
        <w:ind w:left="360" w:hanging="360"/>
      </w:pPr>
      <w:r>
        <w:rPr>
          <w:rFonts w:ascii="Arial" w:cs="Arial" w:eastAsia="Arial" w:hAnsi="Arial"/>
          <w:color w:val="1E293B"/>
          <w:sz w:val="20"/>
          <w:szCs w:val="20"/>
        </w:rPr>
        <w:t xml:space="preserve">Excel export: Mosaico_Assessment_Questions.xlsx — all 60 questions EN+ES with engine/pillar structure.</w:t>
      </w:r>
    </w:p>
    <w:p>
      <w:pPr>
        <w:pStyle w:val="ListParagraph"/>
        <w:numPr>
          <w:ilvl w:val="0"/>
          <w:numId w:val="2"/>
        </w:numPr>
        <w:spacing w:after="40" w:before="40"/>
        <w:ind w:left="360" w:hanging="360"/>
      </w:pPr>
      <w:r>
        <w:rPr>
          <w:rFonts w:ascii="Arial" w:cs="Arial" w:eastAsia="Arial" w:hAnsi="Arial"/>
          <w:color w:val="1E293B"/>
          <w:sz w:val="20"/>
          <w:szCs w:val="20"/>
        </w:rPr>
        <w:t xml:space="preserve">Deployed to Vercel (mosaico-engine-assessment.vercel.app).</w:t>
      </w:r>
    </w:p>
    <w:p>
      <w:pPr>
        <w:pStyle w:val="ListParagraph"/>
        <w:numPr>
          <w:ilvl w:val="0"/>
          <w:numId w:val="2"/>
        </w:numPr>
        <w:spacing w:after="40" w:before="40"/>
        <w:ind w:left="360" w:hanging="360"/>
      </w:pPr>
      <w:r>
        <w:rPr>
          <w:rFonts w:ascii="Arial" w:cs="Arial" w:eastAsia="Arial" w:hAnsi="Arial"/>
          <w:color w:val="1E293B"/>
          <w:sz w:val="20"/>
          <w:szCs w:val="20"/>
        </w:rPr>
        <w:t xml:space="preserve">Root redirect (/ → /es/admin) and locale root redirect (/es → /es/admin) added.</w:t>
      </w:r>
    </w:p>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5. Pending Work</w:t>
      </w:r>
    </w:p>
    <w:p>
      <w:pPr>
        <w:pStyle w:val="Heading2"/>
        <w:spacing w:after="120" w:before="280"/>
      </w:pPr>
      <w:r>
        <w:rPr>
          <w:rFonts w:ascii="Arial" w:cs="Arial" w:eastAsia="Arial" w:hAnsi="Arial"/>
          <w:b/>
          <w:bCs/>
          <w:color w:val="1E293B"/>
          <w:sz w:val="26"/>
          <w:szCs w:val="26"/>
        </w:rPr>
        <w:t xml:space="preserve">5a. Quick Wins from Beta Feedback (High priority, Low effort)</w:t>
      </w:r>
    </w:p>
    <w:p>
      <w:pPr>
        <w:spacing w:after="80" w:before="80"/>
      </w:pPr>
      <w:r>
        <w:rPr>
          <w:rFonts w:ascii="Arial" w:cs="Arial" w:eastAsia="Arial" w:hAnsi="Arial"/>
          <w:color w:val="64748B"/>
          <w:sz w:val="20"/>
          <w:szCs w:val="20"/>
        </w:rPr>
        <w:t xml:space="preserve">Full feedback classification in: Mosaico_Assessment_Feedback_v1.xlsx</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1200"/>
        <w:gridCol w:w="12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Fix "results.critical" translation key showing as raw key on results page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Bug / i18n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DC2626"/>
                <w:sz w:val="16"/>
                <w:szCs w:val="16"/>
              </w:rPr>
              <w:t xml:space="preserve">Critical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2</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Display all 4 maturity tiers (Foundational/Developing/Scaling/Leading) with color legend in results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Results UX</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Always show top 2–3 highest-scoring pillars as strengths, even when everything is red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Results UX / Trust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4</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Replace "tribal knowledge" jargon in E5.2 with plain language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Language / Clarity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Spell out acronyms (OMS, ERP, WMS, CRM) on first use; remove anglicisms in Spanish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Language / Localization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6</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Rewrite A1.2: "technical debt" / "legacy systems" in plain business language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Language / Clarity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Add explanation text for recommendation priority logic in results UI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Results Transparency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8</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Rewrite E5.4 (deliberation question) to be more user friendly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Language / Clarity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Rewrite A5.4 (prueba y adopción) to be clearer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Language / Clarity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10</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Review and differentiate E1.3 vs G1.4 (autonomy question overlap)</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Question Redundancy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bl>
    <w:p>
      <w:pPr>
        <w:spacing w:after="80" w:before="160"/>
      </w:pPr>
      <w:r>
        <w:t xml:space="preserve"/>
      </w:r>
    </w:p>
    <w:p>
      <w:pPr>
        <w:pStyle w:val="Heading2"/>
        <w:spacing w:after="120" w:before="280"/>
      </w:pPr>
      <w:r>
        <w:rPr>
          <w:rFonts w:ascii="Arial" w:cs="Arial" w:eastAsia="Arial" w:hAnsi="Arial"/>
          <w:b/>
          <w:bCs/>
          <w:color w:val="1E293B"/>
          <w:sz w:val="26"/>
          <w:szCs w:val="26"/>
        </w:rPr>
        <w:t xml:space="preserve">5b. Medium Effort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1200"/>
        <w:gridCol w:w="12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Add "Not applicable" option for marketplace/cart abandonment questions (Q16, Q19)</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Question Applicability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Medium</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12</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Redesign response scale: add plain-language anchors or descriptions per level</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Scale Design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Medium</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Back navigation: enable going back within a pillar during the assessment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Navigation UX</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B45309"/>
                <w:sz w:val="16"/>
                <w:szCs w:val="16"/>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Medium</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14</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Add seniority level dropdown to session creation (Leadership/Senior Mgmt/Middle Mgmt)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Registration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Make respondent name optional or remove from client-facing flow</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Privacy / Registration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64748B"/>
                <w:sz w:val="18"/>
                <w:szCs w:val="18"/>
              </w:rPr>
              <w:t xml:space="preserve">16</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Add archetype + description to results (define 4–6 archetypes based on engine score combos)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Results Feature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16"/>
                <w:szCs w:val="16"/>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64748B"/>
                <w:sz w:val="18"/>
                <w:szCs w:val="18"/>
              </w:rPr>
              <w:t xml:space="preserve">High</w:t>
            </w:r>
          </w:p>
        </w:tc>
      </w:tr>
    </w:tbl>
    <w:p>
      <w:pPr>
        <w:spacing w:after="80" w:before="160"/>
      </w:pPr>
      <w:r>
        <w:t xml:space="preserve"/>
      </w:r>
    </w:p>
    <w:p>
      <w:pPr>
        <w:pStyle w:val="Heading2"/>
        <w:spacing w:after="120" w:before="280"/>
      </w:pPr>
      <w:r>
        <w:rPr>
          <w:rFonts w:ascii="Arial" w:cs="Arial" w:eastAsia="Arial" w:hAnsi="Arial"/>
          <w:b/>
          <w:bCs/>
          <w:color w:val="1E293B"/>
          <w:sz w:val="26"/>
          <w:szCs w:val="26"/>
        </w:rPr>
        <w:t xml:space="preserve">5c. Email Delivery (Phase 4 — Planned, Not Yet Built)</w:t>
      </w:r>
    </w:p>
    <w:p>
      <w:pPr>
        <w:pStyle w:val="ListParagraph"/>
        <w:numPr>
          <w:ilvl w:val="0"/>
          <w:numId w:val="2"/>
        </w:numPr>
        <w:spacing w:after="40" w:before="40"/>
        <w:ind w:left="360" w:hanging="360"/>
      </w:pPr>
      <w:r>
        <w:rPr>
          <w:rFonts w:ascii="Arial" w:cs="Arial" w:eastAsia="Arial" w:hAnsi="Arial"/>
          <w:color w:val="1E293B"/>
          <w:sz w:val="20"/>
          <w:szCs w:val="20"/>
        </w:rPr>
        <w:t xml:space="preserve">Tool: Resend (resend.com)</w:t>
      </w:r>
    </w:p>
    <w:p>
      <w:pPr>
        <w:pStyle w:val="ListParagraph"/>
        <w:numPr>
          <w:ilvl w:val="0"/>
          <w:numId w:val="2"/>
        </w:numPr>
        <w:spacing w:after="40" w:before="40"/>
        <w:ind w:left="360" w:hanging="360"/>
      </w:pPr>
      <w:r>
        <w:rPr>
          <w:rFonts w:ascii="Arial" w:cs="Arial" w:eastAsia="Arial" w:hAnsi="Arial"/>
          <w:color w:val="1E293B"/>
          <w:sz w:val="20"/>
          <w:szCs w:val="20"/>
        </w:rPr>
        <w:t xml:space="preserve">Flow 1 — Assessment invitation: admin creates session → sends link to client contact via email</w:t>
      </w:r>
    </w:p>
    <w:p>
      <w:pPr>
        <w:pStyle w:val="ListParagraph"/>
        <w:numPr>
          <w:ilvl w:val="0"/>
          <w:numId w:val="2"/>
        </w:numPr>
        <w:spacing w:after="40" w:before="40"/>
        <w:ind w:left="360" w:hanging="360"/>
      </w:pPr>
      <w:r>
        <w:rPr>
          <w:rFonts w:ascii="Arial" w:cs="Arial" w:eastAsia="Arial" w:hAnsi="Arial"/>
          <w:color w:val="1E293B"/>
          <w:sz w:val="20"/>
          <w:szCs w:val="20"/>
        </w:rPr>
        <w:t xml:space="preserve">Flow 2 — Insights report: session completes → notify Mosaico consulting team with results summary</w:t>
      </w:r>
    </w:p>
    <w:p>
      <w:pPr>
        <w:pStyle w:val="ListParagraph"/>
        <w:numPr>
          <w:ilvl w:val="0"/>
          <w:numId w:val="2"/>
        </w:numPr>
        <w:spacing w:after="40" w:before="40"/>
        <w:ind w:left="360" w:hanging="360"/>
      </w:pPr>
      <w:r>
        <w:rPr>
          <w:rFonts w:ascii="Arial" w:cs="Arial" w:eastAsia="Arial" w:hAnsi="Arial"/>
          <w:color w:val="1E293B"/>
          <w:sz w:val="20"/>
          <w:szCs w:val="20"/>
        </w:rPr>
        <w:t xml:space="preserve">Flow 3 (stretch) — Reminder: 48h after session created, if still in_progress, send resume link to client</w:t>
      </w:r>
    </w:p>
    <w:p>
      <w:pPr>
        <w:pStyle w:val="ListParagraph"/>
        <w:numPr>
          <w:ilvl w:val="0"/>
          <w:numId w:val="2"/>
        </w:numPr>
        <w:spacing w:after="40" w:before="40"/>
        <w:ind w:left="360" w:hanging="360"/>
      </w:pPr>
      <w:r>
        <w:rPr>
          <w:rFonts w:ascii="Arial" w:cs="Arial" w:eastAsia="Arial" w:hAnsi="Arial"/>
          <w:color w:val="1E293B"/>
          <w:sz w:val="20"/>
          <w:szCs w:val="20"/>
        </w:rPr>
        <w:t xml:space="preserve">Implementation: create /app/api/admin/sessions/[id]/send-invite/route.ts + email templates</w:t>
      </w:r>
    </w:p>
    <w:p>
      <w:pPr>
        <w:spacing w:after="80" w:before="160"/>
      </w:pPr>
      <w:r>
        <w:t xml:space="preserve"/>
      </w:r>
    </w:p>
    <w:p>
      <w:pPr>
        <w:pStyle w:val="Heading2"/>
        <w:spacing w:after="120" w:before="280"/>
      </w:pPr>
      <w:r>
        <w:rPr>
          <w:rFonts w:ascii="Arial" w:cs="Arial" w:eastAsia="Arial" w:hAnsi="Arial"/>
          <w:b/>
          <w:bCs/>
          <w:color w:val="1E293B"/>
          <w:sz w:val="26"/>
          <w:szCs w:val="26"/>
        </w:rPr>
        <w:t xml:space="preserve">5d. Future / V2 Features</w:t>
      </w:r>
    </w:p>
    <w:p>
      <w:pPr>
        <w:pStyle w:val="ListParagraph"/>
        <w:numPr>
          <w:ilvl w:val="0"/>
          <w:numId w:val="2"/>
        </w:numPr>
        <w:spacing w:after="40" w:before="40"/>
        <w:ind w:left="360" w:hanging="360"/>
      </w:pPr>
      <w:r>
        <w:rPr>
          <w:rFonts w:ascii="Arial" w:cs="Arial" w:eastAsia="Arial" w:hAnsi="Arial"/>
          <w:color w:val="1E293B"/>
          <w:sz w:val="20"/>
          <w:szCs w:val="20"/>
        </w:rPr>
        <w:t xml:space="preserve">Benchmarking vs. industry peers / percentiles (requires ~100+ completed sessions per segment)</w:t>
      </w:r>
    </w:p>
    <w:p>
      <w:pPr>
        <w:pStyle w:val="ListParagraph"/>
        <w:numPr>
          <w:ilvl w:val="0"/>
          <w:numId w:val="2"/>
        </w:numPr>
        <w:spacing w:after="40" w:before="40"/>
        <w:ind w:left="360" w:hanging="360"/>
      </w:pPr>
      <w:r>
        <w:rPr>
          <w:rFonts w:ascii="Arial" w:cs="Arial" w:eastAsia="Arial" w:hAnsi="Arial"/>
          <w:color w:val="1E293B"/>
          <w:sz w:val="20"/>
          <w:szCs w:val="20"/>
        </w:rPr>
        <w:t xml:space="preserve">Pillar-level resume: pre-fill already-answered questions when re-entering a partially completed engine</w:t>
      </w:r>
    </w:p>
    <w:p>
      <w:pPr>
        <w:pStyle w:val="ListParagraph"/>
        <w:numPr>
          <w:ilvl w:val="0"/>
          <w:numId w:val="2"/>
        </w:numPr>
        <w:spacing w:after="40" w:before="40"/>
        <w:ind w:left="360" w:hanging="360"/>
      </w:pPr>
      <w:r>
        <w:rPr>
          <w:rFonts w:ascii="Arial" w:cs="Arial" w:eastAsia="Arial" w:hAnsi="Arial"/>
          <w:color w:val="1E293B"/>
          <w:sz w:val="20"/>
          <w:szCs w:val="20"/>
        </w:rPr>
        <w:t xml:space="preserve">Admin team management UI (currently provisioned via Supabase dashboard)</w:t>
      </w:r>
    </w:p>
    <w:p>
      <w:pPr>
        <w:pStyle w:val="ListParagraph"/>
        <w:numPr>
          <w:ilvl w:val="0"/>
          <w:numId w:val="2"/>
        </w:numPr>
        <w:spacing w:after="40" w:before="40"/>
        <w:ind w:left="360" w:hanging="360"/>
      </w:pPr>
      <w:r>
        <w:rPr>
          <w:rFonts w:ascii="Arial" w:cs="Arial" w:eastAsia="Arial" w:hAnsi="Arial"/>
          <w:color w:val="1E293B"/>
          <w:sz w:val="20"/>
          <w:szCs w:val="20"/>
        </w:rPr>
        <w:t xml:space="preserve">Railway migration (currently on Vercel Hobby with public repo limitation)</w:t>
      </w:r>
    </w:p>
    <w:p>
      <w:pPr>
        <w:pStyle w:val="ListParagraph"/>
        <w:numPr>
          <w:ilvl w:val="0"/>
          <w:numId w:val="2"/>
        </w:numPr>
        <w:spacing w:after="40" w:before="40"/>
        <w:ind w:left="360" w:hanging="360"/>
      </w:pPr>
      <w:r>
        <w:rPr>
          <w:rFonts w:ascii="Arial" w:cs="Arial" w:eastAsia="Arial" w:hAnsi="Arial"/>
          <w:color w:val="1E293B"/>
          <w:sz w:val="20"/>
          <w:szCs w:val="20"/>
        </w:rPr>
        <w:t xml:space="preserve">Segmentation filters in Analytics dashboard (by industry, company size, revenue band)</w:t>
      </w:r>
    </w:p>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6. Mosaico Playbooks Reference</w:t>
      </w:r>
    </w:p>
    <w:p>
      <w:pPr>
        <w:spacing w:after="80" w:before="80"/>
      </w:pPr>
      <w:r>
        <w:rPr>
          <w:rFonts w:ascii="Arial" w:cs="Arial" w:eastAsia="Arial" w:hAnsi="Arial"/>
          <w:color w:val="1E293B"/>
          <w:sz w:val="20"/>
          <w:szCs w:val="20"/>
        </w:rPr>
        <w:t xml:space="preserve">Each pillar recommendation references one or more of these Mosaico playbooks:</w:t>
      </w:r>
    </w:p>
    <w:p>
      <w:pPr>
        <w:spacing w:after="40" w:before="80"/>
      </w:pPr>
      <w:r>
        <w:t xml:space="preserve"/>
      </w:r>
    </w:p>
    <w:p>
      <w:pPr>
        <w:pStyle w:val="ListParagraph"/>
        <w:numPr>
          <w:ilvl w:val="0"/>
          <w:numId w:val="2"/>
        </w:numPr>
        <w:spacing w:after="40" w:before="40"/>
        <w:ind w:left="360" w:hanging="360"/>
      </w:pPr>
      <w:r>
        <w:rPr>
          <w:rFonts w:ascii="Arial" w:cs="Arial" w:eastAsia="Arial" w:hAnsi="Arial"/>
          <w:color w:val="1E293B"/>
          <w:sz w:val="20"/>
          <w:szCs w:val="20"/>
        </w:rPr>
        <w:t xml:space="preserve">Hiper-Personalización a Escala → G2 (Segmentation &amp; Personalization)</w:t>
      </w:r>
    </w:p>
    <w:p>
      <w:pPr>
        <w:pStyle w:val="ListParagraph"/>
        <w:numPr>
          <w:ilvl w:val="0"/>
          <w:numId w:val="2"/>
        </w:numPr>
        <w:spacing w:after="40" w:before="40"/>
        <w:ind w:left="360" w:hanging="360"/>
      </w:pPr>
      <w:r>
        <w:rPr>
          <w:rFonts w:ascii="Arial" w:cs="Arial" w:eastAsia="Arial" w:hAnsi="Arial"/>
          <w:color w:val="1E293B"/>
          <w:sz w:val="20"/>
          <w:szCs w:val="20"/>
        </w:rPr>
        <w:t xml:space="preserve">Predictive Retention Analytics → G3 (Lifecycle &amp; Retention)</w:t>
      </w:r>
    </w:p>
    <w:p>
      <w:pPr>
        <w:pStyle w:val="ListParagraph"/>
        <w:numPr>
          <w:ilvl w:val="0"/>
          <w:numId w:val="2"/>
        </w:numPr>
        <w:spacing w:after="40" w:before="40"/>
        <w:ind w:left="360" w:hanging="360"/>
      </w:pPr>
      <w:r>
        <w:rPr>
          <w:rFonts w:ascii="Arial" w:cs="Arial" w:eastAsia="Arial" w:hAnsi="Arial"/>
          <w:color w:val="1E293B"/>
          <w:sz w:val="20"/>
          <w:szCs w:val="20"/>
        </w:rPr>
        <w:t xml:space="preserve">Performance Demand Generation → G4 (Paid &amp; Owned Channels)</w:t>
      </w:r>
    </w:p>
    <w:p>
      <w:pPr>
        <w:pStyle w:val="ListParagraph"/>
        <w:numPr>
          <w:ilvl w:val="0"/>
          <w:numId w:val="2"/>
        </w:numPr>
        <w:spacing w:after="40" w:before="40"/>
        <w:ind w:left="360" w:hanging="360"/>
      </w:pPr>
      <w:r>
        <w:rPr>
          <w:rFonts w:ascii="Arial" w:cs="Arial" w:eastAsia="Arial" w:hAnsi="Arial"/>
          <w:color w:val="1E293B"/>
          <w:sz w:val="20"/>
          <w:szCs w:val="20"/>
        </w:rPr>
        <w:t xml:space="preserve">Revenue &amp; Pricing Science → G5 (Revenue Analytics)</w:t>
      </w:r>
    </w:p>
    <w:p>
      <w:pPr>
        <w:pStyle w:val="ListParagraph"/>
        <w:numPr>
          <w:ilvl w:val="0"/>
          <w:numId w:val="2"/>
        </w:numPr>
        <w:spacing w:after="40" w:before="40"/>
        <w:ind w:left="360" w:hanging="360"/>
      </w:pPr>
      <w:r>
        <w:rPr>
          <w:rFonts w:ascii="Arial" w:cs="Arial" w:eastAsia="Arial" w:hAnsi="Arial"/>
          <w:color w:val="1E293B"/>
          <w:sz w:val="20"/>
          <w:szCs w:val="20"/>
        </w:rPr>
        <w:t xml:space="preserve">Gobernanza de Datos → E1 (Data Governance)</w:t>
      </w:r>
    </w:p>
    <w:p>
      <w:pPr>
        <w:pStyle w:val="ListParagraph"/>
        <w:numPr>
          <w:ilvl w:val="0"/>
          <w:numId w:val="2"/>
        </w:numPr>
        <w:spacing w:after="40" w:before="40"/>
        <w:ind w:left="360" w:hanging="360"/>
      </w:pPr>
      <w:r>
        <w:rPr>
          <w:rFonts w:ascii="Arial" w:cs="Arial" w:eastAsia="Arial" w:hAnsi="Arial"/>
          <w:color w:val="1E293B"/>
          <w:sz w:val="20"/>
          <w:szCs w:val="20"/>
        </w:rPr>
        <w:t xml:space="preserve">Data Trust &amp; Quality → E2 (Data Trust)</w:t>
      </w:r>
    </w:p>
    <w:p>
      <w:pPr>
        <w:pStyle w:val="ListParagraph"/>
        <w:numPr>
          <w:ilvl w:val="0"/>
          <w:numId w:val="2"/>
        </w:numPr>
        <w:spacing w:after="40" w:before="40"/>
        <w:ind w:left="360" w:hanging="360"/>
      </w:pPr>
      <w:r>
        <w:rPr>
          <w:rFonts w:ascii="Arial" w:cs="Arial" w:eastAsia="Arial" w:hAnsi="Arial"/>
          <w:color w:val="1E293B"/>
          <w:sz w:val="20"/>
          <w:szCs w:val="20"/>
        </w:rPr>
        <w:t xml:space="preserve">Gen AI Corporativa + Automatización de Flujos &amp; API → E3 (AI &amp; Automation)</w:t>
      </w:r>
    </w:p>
    <w:p>
      <w:pPr>
        <w:pStyle w:val="ListParagraph"/>
        <w:numPr>
          <w:ilvl w:val="0"/>
          <w:numId w:val="2"/>
        </w:numPr>
        <w:spacing w:after="40" w:before="40"/>
        <w:ind w:left="360" w:hanging="360"/>
      </w:pPr>
      <w:r>
        <w:rPr>
          <w:rFonts w:ascii="Arial" w:cs="Arial" w:eastAsia="Arial" w:hAnsi="Arial"/>
          <w:color w:val="1E293B"/>
          <w:sz w:val="20"/>
          <w:szCs w:val="20"/>
        </w:rPr>
        <w:t xml:space="preserve">Lean Six Sigma para la rentabilidad → E4 (Process Efficiency)</w:t>
      </w:r>
    </w:p>
    <w:p>
      <w:pPr>
        <w:pStyle w:val="ListParagraph"/>
        <w:numPr>
          <w:ilvl w:val="0"/>
          <w:numId w:val="2"/>
        </w:numPr>
        <w:spacing w:after="40" w:before="40"/>
        <w:ind w:left="360" w:hanging="360"/>
      </w:pPr>
      <w:r>
        <w:rPr>
          <w:rFonts w:ascii="Arial" w:cs="Arial" w:eastAsia="Arial" w:hAnsi="Arial"/>
          <w:color w:val="1E293B"/>
          <w:sz w:val="20"/>
          <w:szCs w:val="20"/>
        </w:rPr>
        <w:t xml:space="preserve">Automatización de Flujos &amp; API → E5 (Operational Scalability)</w:t>
      </w:r>
    </w:p>
    <w:p>
      <w:pPr>
        <w:spacing w:after="80" w:before="80"/>
      </w:pPr>
      <w:r>
        <w:rPr>
          <w:rFonts w:ascii="Arial" w:cs="Arial" w:eastAsia="Arial" w:hAnsi="Arial"/>
          <w:color w:val="64748B"/>
          <w:sz w:val="20"/>
          <w:szCs w:val="20"/>
        </w:rPr>
        <w:t xml:space="preserve">Note: G1 (Customer Data Infrastructure) and Adaptability engine pillars also reference playbooks in context. See lib/recommendations/en.ts and lib/recommendations/es.ts for the full mapping.</w:t>
      </w:r>
    </w:p>
    <w:p>
      <w:pPr>
        <w:spacing w:after="120" w:before="120"/>
      </w:pPr>
      <w:r>
        <w:t xml:space="preserve"/>
      </w:r>
    </w:p>
    <w:p>
      <w:pPr>
        <w:pStyle w:val="Heading1"/>
        <w:pBdr>
          <w:bottom w:val="single" w:color="1A7A4A" w:sz="8" w:space="6"/>
        </w:pBdr>
        <w:spacing w:after="160" w:before="360"/>
      </w:pPr>
      <w:r>
        <w:rPr>
          <w:rFonts w:ascii="Arial" w:cs="Arial" w:eastAsia="Arial" w:hAnsi="Arial"/>
          <w:b/>
          <w:bCs/>
          <w:color w:val="1E293B"/>
          <w:sz w:val="32"/>
          <w:szCs w:val="32"/>
        </w:rPr>
        <w:t xml:space="preserve">7. How to Resume Work on Another Machine</w:t>
      </w:r>
    </w:p>
    <w:p>
      <w:pPr>
        <w:pStyle w:val="Heading2"/>
        <w:spacing w:after="120" w:before="280"/>
      </w:pPr>
      <w:r>
        <w:rPr>
          <w:rFonts w:ascii="Arial" w:cs="Arial" w:eastAsia="Arial" w:hAnsi="Arial"/>
          <w:b/>
          <w:bCs/>
          <w:color w:val="1E293B"/>
          <w:sz w:val="26"/>
          <w:szCs w:val="26"/>
        </w:rPr>
        <w:t xml:space="preserve">Setup</w:t>
      </w:r>
    </w:p>
    <w:p>
      <w:pPr>
        <w:pStyle w:val="ListParagraph"/>
        <w:numPr>
          <w:ilvl w:val="0"/>
          <w:numId w:val="2"/>
        </w:numPr>
        <w:spacing w:after="40" w:before="40"/>
        <w:ind w:left="360" w:hanging="360"/>
      </w:pPr>
      <w:r>
        <w:rPr>
          <w:rFonts w:ascii="Arial" w:cs="Arial" w:eastAsia="Arial" w:hAnsi="Arial"/>
          <w:color w:val="1E293B"/>
          <w:sz w:val="20"/>
          <w:szCs w:val="20"/>
        </w:rPr>
        <w:t xml:space="preserve">git clone https://github.com/ricardhm/mosaico-engine-assessment.git</w:t>
      </w:r>
    </w:p>
    <w:p>
      <w:pPr>
        <w:pStyle w:val="ListParagraph"/>
        <w:numPr>
          <w:ilvl w:val="0"/>
          <w:numId w:val="2"/>
        </w:numPr>
        <w:spacing w:after="40" w:before="40"/>
        <w:ind w:left="360" w:hanging="360"/>
      </w:pPr>
      <w:r>
        <w:rPr>
          <w:rFonts w:ascii="Arial" w:cs="Arial" w:eastAsia="Arial" w:hAnsi="Arial"/>
          <w:color w:val="1E293B"/>
          <w:sz w:val="20"/>
          <w:szCs w:val="20"/>
        </w:rPr>
        <w:t xml:space="preserve">cd mosaico-engine-assessment &amp;&amp; npm install</w:t>
      </w:r>
    </w:p>
    <w:p>
      <w:pPr>
        <w:pStyle w:val="ListParagraph"/>
        <w:numPr>
          <w:ilvl w:val="0"/>
          <w:numId w:val="2"/>
        </w:numPr>
        <w:spacing w:after="40" w:before="40"/>
        <w:ind w:left="360" w:hanging="360"/>
      </w:pPr>
      <w:r>
        <w:rPr>
          <w:rFonts w:ascii="Arial" w:cs="Arial" w:eastAsia="Arial" w:hAnsi="Arial"/>
          <w:color w:val="1E293B"/>
          <w:sz w:val="20"/>
          <w:szCs w:val="20"/>
        </w:rPr>
        <w:t xml:space="preserve">Create .env.local with: NEXT_PUBLIC_SUPABASE_URL, NEXT_PUBLIC_SUPABASE_ANON_KEY, SUPABASE_SERVICE_ROLE_KEY</w:t>
      </w:r>
    </w:p>
    <w:p>
      <w:pPr>
        <w:pStyle w:val="ListParagraph"/>
        <w:numPr>
          <w:ilvl w:val="0"/>
          <w:numId w:val="2"/>
        </w:numPr>
        <w:spacing w:after="40" w:before="40"/>
        <w:ind w:left="360" w:hanging="360"/>
      </w:pPr>
      <w:r>
        <w:rPr>
          <w:rFonts w:ascii="Arial" w:cs="Arial" w:eastAsia="Arial" w:hAnsi="Arial"/>
          <w:color w:val="1E293B"/>
          <w:sz w:val="20"/>
          <w:szCs w:val="20"/>
        </w:rPr>
        <w:t xml:space="preserve">npm run dev → opens at localhost:3000 (redirects to /es/admin)</w:t>
      </w:r>
    </w:p>
    <w:p>
      <w:pPr>
        <w:pStyle w:val="Heading2"/>
        <w:spacing w:after="120" w:before="280"/>
      </w:pPr>
      <w:r>
        <w:rPr>
          <w:rFonts w:ascii="Arial" w:cs="Arial" w:eastAsia="Arial" w:hAnsi="Arial"/>
          <w:b/>
          <w:bCs/>
          <w:color w:val="1E293B"/>
          <w:sz w:val="26"/>
          <w:szCs w:val="26"/>
        </w:rPr>
        <w:t xml:space="preserve">In Cowork or Claude Code</w:t>
      </w:r>
    </w:p>
    <w:p>
      <w:pPr>
        <w:pStyle w:val="ListParagraph"/>
        <w:numPr>
          <w:ilvl w:val="0"/>
          <w:numId w:val="2"/>
        </w:numPr>
        <w:spacing w:after="40" w:before="40"/>
        <w:ind w:left="360" w:hanging="360"/>
      </w:pPr>
      <w:r>
        <w:rPr>
          <w:rFonts w:ascii="Arial" w:cs="Arial" w:eastAsia="Arial" w:hAnsi="Arial"/>
          <w:color w:val="1E293B"/>
          <w:sz w:val="20"/>
          <w:szCs w:val="20"/>
        </w:rPr>
        <w:t xml:space="preserve">Open a new session and select the cloned folder as workspace</w:t>
      </w:r>
    </w:p>
    <w:p>
      <w:pPr>
        <w:pStyle w:val="ListParagraph"/>
        <w:numPr>
          <w:ilvl w:val="0"/>
          <w:numId w:val="2"/>
        </w:numPr>
        <w:spacing w:after="40" w:before="40"/>
        <w:ind w:left="360" w:hanging="360"/>
      </w:pPr>
      <w:r>
        <w:rPr>
          <w:rFonts w:ascii="Arial" w:cs="Arial" w:eastAsia="Arial" w:hAnsi="Arial"/>
          <w:color w:val="1E293B"/>
          <w:sz w:val="20"/>
          <w:szCs w:val="20"/>
        </w:rPr>
        <w:t xml:space="preserve">Paste this document into context or reference it by path: CLAUDE_PROJECT_PRD.docx</w:t>
      </w:r>
    </w:p>
    <w:p>
      <w:pPr>
        <w:pStyle w:val="ListParagraph"/>
        <w:numPr>
          <w:ilvl w:val="0"/>
          <w:numId w:val="2"/>
        </w:numPr>
        <w:spacing w:after="40" w:before="40"/>
        <w:ind w:left="360" w:hanging="360"/>
      </w:pPr>
      <w:r>
        <w:rPr>
          <w:rFonts w:ascii="Arial" w:cs="Arial" w:eastAsia="Arial" w:hAnsi="Arial"/>
          <w:color w:val="1E293B"/>
          <w:sz w:val="20"/>
          <w:szCs w:val="20"/>
        </w:rPr>
        <w:t xml:space="preserve">The next task is: Quick Wins from Section 5a (start with the results.critical bug fix)</w:t>
      </w:r>
    </w:p>
    <w:p>
      <w:pPr>
        <w:pStyle w:val="Heading2"/>
        <w:spacing w:after="120" w:before="280"/>
      </w:pPr>
      <w:r>
        <w:rPr>
          <w:rFonts w:ascii="Arial" w:cs="Arial" w:eastAsia="Arial" w:hAnsi="Arial"/>
          <w:b/>
          <w:bCs/>
          <w:color w:val="1E293B"/>
          <w:sz w:val="26"/>
          <w:szCs w:val="26"/>
        </w:rPr>
        <w:t xml:space="preserve">Key Environment Notes</w:t>
      </w:r>
    </w:p>
    <w:p>
      <w:pPr>
        <w:pStyle w:val="ListParagraph"/>
        <w:numPr>
          <w:ilvl w:val="0"/>
          <w:numId w:val="2"/>
        </w:numPr>
        <w:spacing w:after="40" w:before="40"/>
        <w:ind w:left="360" w:hanging="360"/>
      </w:pPr>
      <w:r>
        <w:rPr>
          <w:rFonts w:ascii="Arial" w:cs="Arial" w:eastAsia="Arial" w:hAnsi="Arial"/>
          <w:color w:val="1E293B"/>
          <w:sz w:val="20"/>
          <w:szCs w:val="20"/>
        </w:rPr>
        <w:t xml:space="preserve">Supabase keys are in Vercel dashboard → Project Settings → Environment Variables</w:t>
      </w:r>
    </w:p>
    <w:p>
      <w:pPr>
        <w:pStyle w:val="ListParagraph"/>
        <w:numPr>
          <w:ilvl w:val="0"/>
          <w:numId w:val="2"/>
        </w:numPr>
        <w:spacing w:after="40" w:before="40"/>
        <w:ind w:left="360" w:hanging="360"/>
      </w:pPr>
      <w:r>
        <w:rPr>
          <w:rFonts w:ascii="Arial" w:cs="Arial" w:eastAsia="Arial" w:hAnsi="Arial"/>
          <w:color w:val="1E293B"/>
          <w:sz w:val="20"/>
          <w:szCs w:val="20"/>
        </w:rPr>
        <w:t xml:space="preserve">Admin users are provisioned via Supabase dashboard → Authentication → Users</w:t>
      </w:r>
    </w:p>
    <w:p>
      <w:pPr>
        <w:pStyle w:val="ListParagraph"/>
        <w:numPr>
          <w:ilvl w:val="0"/>
          <w:numId w:val="2"/>
        </w:numPr>
        <w:spacing w:after="40" w:before="40"/>
        <w:ind w:left="360" w:hanging="360"/>
      </w:pPr>
      <w:r>
        <w:rPr>
          <w:rFonts w:ascii="Arial" w:cs="Arial" w:eastAsia="Arial" w:hAnsi="Arial"/>
          <w:color w:val="1E293B"/>
          <w:sz w:val="20"/>
          <w:szCs w:val="20"/>
        </w:rPr>
        <w:t xml:space="preserve">Vercel auto-deploys on every push to main branch</w:t>
      </w:r>
    </w:p>
    <w:p>
      <w:pPr>
        <w:pStyle w:val="ListParagraph"/>
        <w:numPr>
          <w:ilvl w:val="0"/>
          <w:numId w:val="2"/>
        </w:numPr>
        <w:spacing w:after="40" w:before="40"/>
        <w:ind w:left="360" w:hanging="360"/>
      </w:pPr>
      <w:r>
        <w:rPr>
          <w:rFonts w:ascii="Arial" w:cs="Arial" w:eastAsia="Arial" w:hAnsi="Arial"/>
          <w:color w:val="1E293B"/>
          <w:sz w:val="20"/>
          <w:szCs w:val="20"/>
        </w:rPr>
        <w:t xml:space="preserve">TypeScript check before pushing: npx tsc --noEmit</w:t>
      </w:r>
    </w:p>
    <w:p>
      <w:pPr>
        <w:spacing w:after="120" w:before="120"/>
      </w:pPr>
      <w:r>
        <w:t xml:space="preserve"/>
      </w:r>
    </w:p>
    <w:p>
      <w:pPr>
        <w:pBdr>
          <w:top w:val="single" w:color="E2E8F0" w:sz="4" w:space="8"/>
        </w:pBdr>
        <w:spacing w:after="0" w:before="240"/>
      </w:pPr>
      <w:r>
        <w:rPr>
          <w:rFonts w:ascii="Arial" w:cs="Arial" w:eastAsia="Arial" w:hAnsi="Arial"/>
          <w:color w:val="64748B"/>
          <w:sz w:val="16"/>
          <w:szCs w:val="16"/>
        </w:rPr>
        <w:t xml:space="preserve">Mosaico Engine Assessment • Internal document • Do not share externally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Arial" w:cs="Arial" w:eastAsia="Arial" w:hAnsi="Arial"/>
        <w:color w:val="64748B"/>
        <w:sz w:val="16"/>
        <w:szCs w:val="16"/>
      </w:rPr>
      <w:t xml:space="preserve">Confidential — Mosaico Internal</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4"/>
      </w:pBdr>
      <w:tabs>
        <w:tab w:val="right" w:pos="9026"/>
      </w:tabs>
    </w:pPr>
    <w:r>
      <w:rPr>
        <w:rFonts w:ascii="Arial" w:cs="Arial" w:eastAsia="Arial" w:hAnsi="Arial"/>
        <w:b/>
        <w:bCs/>
        <w:color w:val="1A7A4A"/>
        <w:sz w:val="18"/>
        <w:szCs w:val="18"/>
      </w:rPr>
      <w:t xml:space="preserve">Mosaico Engine Assessment</w:t>
    </w:r>
    <w:r>
      <w:rPr>
        <w:rFonts w:ascii="Arial" w:cs="Arial" w:eastAsia="Arial" w:hAnsi="Arial"/>
        <w:color w:val="64748B"/>
        <w:sz w:val="18"/>
        <w:szCs w:val="18"/>
      </w:rPr>
      <w:t xml:space="preserve">	Project PRD &amp; Continuation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2026-04-13T02:14:23.261Z</dcterms:created>
  <dcterms:modified xsi:type="dcterms:W3CDTF">2026-04-13T02:14:23.261Z</dcterms:modified>
</cp:coreProperties>
</file>

<file path=docProps/custom.xml><?xml version="1.0" encoding="utf-8"?>
<Properties xmlns="http://schemas.openxmlformats.org/officeDocument/2006/custom-properties" xmlns:vt="http://schemas.openxmlformats.org/officeDocument/2006/docPropsVTypes"/>
</file>