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06666"/>
          <w:shd w:fill="e06666"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Pr>
        <w:drawing>
          <wp:inline distB="0" distT="0" distL="0" distR="0">
            <wp:extent cx="3843319" cy="865249"/>
            <wp:effectExtent b="0" l="0" r="0" t="0"/>
            <wp:docPr descr="Texto&#10;&#10;Descripción generada automáticamente" id="1" name="image1.png"/>
            <a:graphic>
              <a:graphicData uri="http://schemas.openxmlformats.org/drawingml/2006/picture">
                <pic:pic>
                  <pic:nvPicPr>
                    <pic:cNvPr descr="Texto&#10;&#10;Descripción generada automáticamente" id="0" name="image1.png"/>
                    <pic:cNvPicPr preferRelativeResize="0"/>
                  </pic:nvPicPr>
                  <pic:blipFill>
                    <a:blip r:embed="rId9"/>
                    <a:srcRect b="0" l="0" r="0" t="0"/>
                    <a:stretch>
                      <a:fillRect/>
                    </a:stretch>
                  </pic:blipFill>
                  <pic:spPr>
                    <a:xfrm>
                      <a:off x="0" y="0"/>
                      <a:ext cx="3843319" cy="8652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sdt>
        <w:sdtPr>
          <w:id w:val="759321179"/>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Universidad Internacional de La Rioja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sdt>
        <w:sdtPr>
          <w:id w:val="481435282"/>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Escuela Superior de Ingeniería 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Tecnología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98cd"/>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Máster Universitario en Inteligencia artificial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52"/>
          <w:szCs w:val="52"/>
          <w:u w:val="none"/>
          <w:shd w:fill="auto" w:val="clear"/>
          <w:vertAlign w:val="baseline"/>
          <w:rtl w:val="0"/>
        </w:rPr>
        <w:t xml:space="preserve">Título del Trabajo Fin de Estudios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r>
    </w:p>
    <w:tbl>
      <w:tblPr>
        <w:tblStyle w:val="Table1"/>
        <w:tblpPr w:leftFromText="141" w:rightFromText="141" w:topFromText="0" w:bottomFromText="0" w:vertAnchor="page" w:horzAnchor="margin" w:tblpX="547" w:tblpY="12196"/>
        <w:tblW w:w="8513.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3964"/>
        <w:gridCol w:w="4549"/>
        <w:tblGridChange w:id="0">
          <w:tblGrid>
            <w:gridCol w:w="3964"/>
            <w:gridCol w:w="4549"/>
          </w:tblGrid>
        </w:tblGridChange>
      </w:tblGrid>
      <w:tr>
        <w:trPr>
          <w:cantSplit w:val="0"/>
          <w:tblHeader w:val="0"/>
        </w:trPr>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Trabajo fin de estudio presentado por:</w:t>
            </w:r>
          </w:p>
        </w:tc>
        <w:tc>
          <w:tcP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Francesc Aguiló y Ricard 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trabajo:</w:t>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Piloto experimental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Director/a:</w:t>
            </w:r>
          </w:p>
        </w:tc>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Guillermo Torralba Elipe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w:t>
            </w:r>
          </w:p>
        </w:tc>
        <w:tc>
          <w:tcP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smallCaps w:val="0"/>
        </w:rPr>
      </w:pPr>
      <w:bookmarkStart w:colFirst="0" w:colLast="0" w:name="_heading=h.5v8on6kcwh2k" w:id="0"/>
      <w:bookmarkEnd w:id="0"/>
      <w:r w:rsidDel="00000000" w:rsidR="00000000" w:rsidRPr="00000000">
        <w:br w:type="page"/>
      </w:r>
      <w:r w:rsidDel="00000000" w:rsidR="00000000" w:rsidRPr="00000000">
        <w:rPr>
          <w:smallCaps w:val="0"/>
          <w:rtl w:val="0"/>
        </w:rPr>
        <w:t xml:space="preserve">Resumen </w:t>
      </w:r>
    </w:p>
    <w:p w:rsidR="00000000" w:rsidDel="00000000" w:rsidP="00000000" w:rsidRDefault="00000000" w:rsidRPr="00000000" w14:paraId="00000019">
      <w:pPr>
        <w:pStyle w:val="Heading1"/>
        <w:rPr>
          <w:color w:val="0098cd"/>
          <w:sz w:val="36"/>
          <w:szCs w:val="36"/>
          <w:vertAlign w:val="baseline"/>
        </w:rPr>
      </w:pPr>
      <w:bookmarkStart w:colFirst="0" w:colLast="0" w:name="_heading=h.tc4mh0g86y15" w:id="1"/>
      <w:bookmarkEnd w:id="1"/>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0" w:before="0" w:line="240" w:lineRule="auto"/>
        <w:jc w:val="left"/>
        <w:rPr/>
      </w:pPr>
      <w:bookmarkStart w:colFirst="0" w:colLast="0" w:name="_heading=h.4ikfe4jq8ff2"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vertAlign w:val="baseline"/>
        </w:rPr>
      </w:pPr>
      <w:bookmarkStart w:colFirst="0" w:colLast="0" w:name="_heading=h.i8kyqy8le42x" w:id="3"/>
      <w:bookmarkEnd w:id="3"/>
      <w:r w:rsidDel="00000000" w:rsidR="00000000" w:rsidRPr="00000000">
        <w:rPr>
          <w:smallCaps w:val="0"/>
          <w:rtl w:val="0"/>
        </w:rPr>
        <w:t xml:space="preserve">Abstract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98cd"/>
          <w:sz w:val="36"/>
          <w:szCs w:val="36"/>
        </w:rPr>
      </w:pPr>
      <w:bookmarkStart w:colFirst="0" w:colLast="0" w:name="_heading=h.ubtw5ut7bhz" w:id="4"/>
      <w:bookmarkEnd w:id="4"/>
      <w:r w:rsidDel="00000000" w:rsidR="00000000" w:rsidRPr="00000000">
        <w:rPr>
          <w:smallCaps w:val="0"/>
          <w:rtl w:val="0"/>
        </w:rPr>
        <w:t xml:space="preserve">Índice de contenidos</w:t>
      </w:r>
      <w:r w:rsidDel="00000000" w:rsidR="00000000" w:rsidRPr="00000000">
        <w:rPr>
          <w:rtl w:val="0"/>
        </w:rPr>
      </w:r>
    </w:p>
    <w:sdt>
      <w:sdtPr>
        <w:id w:val="-1025158494"/>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v8on6kcwh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8kyqy8le4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btw5ut7b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 contenidos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y9u7yrm98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qsh1l134a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nhaoeabqz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del trabajo en grupo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5xlvnytek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2uhanfnp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Motivación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4gsxuvmj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Planteamiento del trabajo</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lc7yc7y37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Estructura del trabajo</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x24j762zp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Contexto y estado del arte</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ha3cuh3gb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Contexto del problema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740rh3f9c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Predicción de mercados financieros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zp45073rd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Riesgo geopolítico y su impacto en mercados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wkyax8s7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Bases de datos de eventos geopolíticos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wg8s6azrb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Redes neuronales de grafos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fkioijx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Síntesis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nh0qcuq53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Estado del arte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qe4d2u1v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Machine learning aplicado al riesgo geopolítico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yooiyb0rn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GDELT como fuente de datos para predicción financiera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sf1ysb4n7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GNN en predicción bursátil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ptje5fl2n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Grafos temporales y dinámicos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xr1r3sr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Conclusiones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8p9lmkaxay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Objetivos concretos y metodología de trabajo</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m6cwprt2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Objetivo general</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gxfeagrvyi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Objetivos específicos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dtq1t8muy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Metodología del trabajo</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2yquxrldt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Descripción detallada del experimento</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6gzojlt1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Filtrado de datos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otniexy1w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Decisiones técnicas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xu0pzwj2bui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4.3 Arquitectura final</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ftvk3q5w04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Descripción de los resultados</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lj9ov2m8kn9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Discusión</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136cxtc3bnc">
            <w:r w:rsidDel="00000000" w:rsidR="00000000" w:rsidRPr="00000000">
              <w:rPr>
                <w:i w:val="0"/>
                <w:iCs w:val="0"/>
                <w:smallCaps w:val="0"/>
                <w:strike w:val="0"/>
                <w:color w:val="000000"/>
                <w:sz w:val="24"/>
                <w:szCs w:val="24"/>
                <w:u w:val="none"/>
                <w:shd w:fill="auto" w:val="clear"/>
                <w:vertAlign w:val="baseline"/>
                <w:rtl w:val="0"/>
              </w:rPr>
              <w:t xml:space="preserve">7. Conclusiones y trabajo futuro</w:t>
            </w:r>
          </w:hyperlink>
          <w:hyperlink w:anchor="_heading=h.d136cxtc3bn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09k1sgdq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Conclusiones</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j6wps4ive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Líneas de trabajo futuro</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0mwghrduo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Referencias bibliográficas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rPr>
          <w:color w:val="0098cd"/>
          <w:sz w:val="36"/>
          <w:szCs w:val="36"/>
          <w:vertAlign w:val="baseline"/>
        </w:rPr>
      </w:pPr>
      <w:bookmarkStart w:colFirst="0" w:colLast="0" w:name="_heading=h.uy9u7yrm98e5" w:id="5"/>
      <w:bookmarkEnd w:id="5"/>
      <w:r w:rsidDel="00000000" w:rsidR="00000000" w:rsidRPr="00000000">
        <w:br w:type="page"/>
      </w:r>
      <w:r w:rsidDel="00000000" w:rsidR="00000000" w:rsidRPr="00000000">
        <w:rPr>
          <w:smallCaps w:val="0"/>
          <w:rtl w:val="0"/>
        </w:rPr>
        <w:t xml:space="preserve">Índice de figuras </w:t>
      </w:r>
      <w:r w:rsidDel="00000000" w:rsidR="00000000" w:rsidRPr="00000000">
        <w:rPr>
          <w:rtl w:val="0"/>
        </w:rPr>
      </w:r>
    </w:p>
    <w:sdt>
      <w:sdtPr>
        <w:id w:val="1300072091"/>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hpfk1ew2d9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Figura 1. </w:t>
            </w:r>
          </w:hyperlink>
          <w:hyperlink w:anchor="_heading=h.ghpfk1ew2d9d">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Ejemplo de figura realizada para nuestro trabajo.</w:t>
            </w:r>
          </w:hyperlink>
          <w:hyperlink w:anchor="_heading=h.ghpfk1ew2d9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color w:val="0098cd"/>
          <w:sz w:val="36"/>
          <w:szCs w:val="36"/>
          <w:vertAlign w:val="baseline"/>
        </w:rPr>
      </w:pPr>
      <w:bookmarkStart w:colFirst="0" w:colLast="0" w:name="_heading=h.bqsh1l134ayk" w:id="6"/>
      <w:bookmarkEnd w:id="6"/>
      <w:r w:rsidDel="00000000" w:rsidR="00000000" w:rsidRPr="00000000">
        <w:br w:type="page"/>
      </w:r>
      <w:r w:rsidDel="00000000" w:rsidR="00000000" w:rsidRPr="00000000">
        <w:rPr>
          <w:smallCaps w:val="0"/>
          <w:rtl w:val="0"/>
        </w:rPr>
        <w:t xml:space="preserve">Índice de tablas</w:t>
      </w:r>
      <w:r w:rsidDel="00000000" w:rsidR="00000000" w:rsidRPr="00000000">
        <w:rPr>
          <w:rtl w:val="0"/>
        </w:rPr>
      </w:r>
    </w:p>
    <w:sdt>
      <w:sdtPr>
        <w:id w:val="-41753751"/>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3lum2yqm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1. </w:t>
            </w:r>
          </w:hyperlink>
          <w:hyperlink w:anchor="_heading=h.73lum2yqmo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Organización del trabajo en grupo.</w:t>
            </w:r>
          </w:hyperlink>
          <w:hyperlink w:anchor="_heading=h.73lum2yqm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VIII</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1"/>
          <w:bCs w:val="1"/>
          <w:i w:val="0"/>
          <w:iCs w:val="0"/>
          <w:smallCaps w:val="0"/>
          <w:strike w:val="0"/>
          <w:color w:val="0098c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A">
      <w:pPr>
        <w:rPr>
          <w:color w:val="0098cd"/>
          <w:sz w:val="36"/>
          <w:szCs w:val="36"/>
        </w:rPr>
      </w:pPr>
      <w:r w:rsidDel="00000000" w:rsidR="00000000" w:rsidRPr="00000000">
        <w:rPr>
          <w:rtl w:val="0"/>
        </w:rPr>
      </w:r>
    </w:p>
    <w:p w:rsidR="00000000" w:rsidDel="00000000" w:rsidP="00000000" w:rsidRDefault="00000000" w:rsidRPr="00000000" w14:paraId="0000005B">
      <w:pPr>
        <w:pStyle w:val="Heading1"/>
        <w:rPr>
          <w:vertAlign w:val="baseline"/>
        </w:rPr>
      </w:pPr>
      <w:bookmarkStart w:colFirst="0" w:colLast="0" w:name="_heading=h.7nhaoeabqzvh" w:id="7"/>
      <w:bookmarkEnd w:id="7"/>
      <w:r w:rsidDel="00000000" w:rsidR="00000000" w:rsidRPr="00000000">
        <w:rPr>
          <w:smallCaps w:val="0"/>
          <w:rtl w:val="0"/>
        </w:rPr>
        <w:t xml:space="preserve">Organización del trabajo en grupo</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color w:val="0098cd"/>
          <w:sz w:val="28"/>
          <w:szCs w:val="28"/>
        </w:rPr>
      </w:pPr>
      <w:r w:rsidDel="00000000" w:rsidR="00000000" w:rsidRPr="00000000">
        <w:rPr>
          <w:rFonts w:ascii="Calibri" w:cs="Calibri" w:eastAsia="Calibri" w:hAnsi="Calibri"/>
          <w:b w:val="0"/>
          <w:bCs w:val="0"/>
          <w:i w:val="0"/>
          <w:iCs w:val="0"/>
          <w:smallCaps w:val="0"/>
          <w:strike w:val="0"/>
          <w:color w:val="0098cd"/>
          <w:sz w:val="28"/>
          <w:szCs w:val="28"/>
          <w:u w:val="none"/>
          <w:shd w:fill="auto" w:val="clear"/>
          <w:vertAlign w:val="baseline"/>
          <w:rtl w:val="0"/>
        </w:rPr>
        <w:t xml:space="preserve">Partes que aborda el TFE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b w:val="1"/>
          <w:bCs w:val="1"/>
          <w:rtl w:val="0"/>
        </w:rPr>
        <w:t xml:space="preserve">Francesc Aguiló → Dataset y grafo geopolítico:</w:t>
      </w:r>
      <w:r w:rsidDel="00000000" w:rsidR="00000000" w:rsidRPr="00000000">
        <w:rPr>
          <w:rtl w:val="0"/>
        </w:rPr>
        <w:t xml:space="preserve"> Extracción, filtrado y preprocesamiento de datos de GDELT, incluyendo la selección de periodos históricos relevantes, la deduplicación y limpieza del dataset, la obtención y alineación temporal de los datos del S&amp;P 500, y el diseño y construcción del grafo geopolítico (definición de nodos, aristas, atributos y generación de snapshots diarios).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b w:val="1"/>
          <w:bCs w:val="1"/>
          <w:rtl w:val="0"/>
        </w:rPr>
        <w:t xml:space="preserve">Ricard Martín → Modelo GNN y evaluación: </w:t>
      </w:r>
      <w:r w:rsidDel="00000000" w:rsidR="00000000" w:rsidRPr="00000000">
        <w:rPr>
          <w:rtl w:val="0"/>
        </w:rPr>
        <w:t xml:space="preserve">Selección e implementación de la arquitectura GNN, el diseño del mecanismo de fusión entre la información geopolítica del grafo y los indicadores financieros del S&amp;P 500, el entrenamiento del modelo, la construcción de un modelo de referencia para comparación, la evaluación mediante métricas de clasificación y la automatización de la predicción diaria.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rPr>
      </w:pPr>
      <w:r w:rsidDel="00000000" w:rsidR="00000000" w:rsidRPr="00000000">
        <w:rPr>
          <w:rFonts w:ascii="Calibri" w:cs="Calibri" w:eastAsia="Calibri" w:hAnsi="Calibri"/>
          <w:b w:val="0"/>
          <w:bCs w:val="0"/>
          <w:i w:val="0"/>
          <w:iCs w:val="0"/>
          <w:smallCaps w:val="0"/>
          <w:strike w:val="0"/>
          <w:color w:val="0098cd"/>
          <w:sz w:val="28"/>
          <w:szCs w:val="28"/>
          <w:u w:val="none"/>
          <w:shd w:fill="auto" w:val="clear"/>
          <w:vertAlign w:val="baseline"/>
          <w:rtl w:val="0"/>
        </w:rPr>
        <w:t xml:space="preserve">Distribución y estructura de la memoria</w:t>
      </w:r>
      <w:r w:rsidDel="00000000" w:rsidR="00000000" w:rsidRPr="00000000">
        <w:rPr>
          <w:rtl w:val="0"/>
        </w:rPr>
      </w:r>
    </w:p>
    <w:tbl>
      <w:tblPr>
        <w:tblStyle w:val="Table2"/>
        <w:tblW w:w="906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5807"/>
        <w:gridCol w:w="3254"/>
        <w:tblGridChange w:id="0">
          <w:tblGrid>
            <w:gridCol w:w="5807"/>
            <w:gridCol w:w="3254"/>
          </w:tblGrid>
        </w:tblGridChange>
      </w:tblGrid>
      <w:tr>
        <w:trPr>
          <w:cantSplit w:val="0"/>
          <w:tblHeader w:val="0"/>
        </w:trPr>
        <w:tc>
          <w:tcPr>
            <w:gridSpan w:val="2"/>
            <w:vAlign w:val="center"/>
          </w:tcPr>
          <w:p w:rsidR="00000000" w:rsidDel="00000000" w:rsidP="00000000" w:rsidRDefault="00000000" w:rsidRPr="00000000" w14:paraId="00000060">
            <w:pPr>
              <w:tabs>
                <w:tab w:val="right" w:leader="none" w:pos="9061"/>
              </w:tabs>
              <w:jc w:val="center"/>
              <w:rPr>
                <w:b w:val="0"/>
                <w:bCs w:val="0"/>
                <w:color w:val="000000"/>
                <w:sz w:val="20"/>
                <w:szCs w:val="20"/>
              </w:rPr>
            </w:pPr>
            <w:r w:rsidDel="00000000" w:rsidR="00000000" w:rsidRPr="00000000">
              <w:rPr>
                <w:b w:val="0"/>
                <w:bCs w:val="0"/>
                <w:color w:val="000000"/>
                <w:sz w:val="20"/>
                <w:szCs w:val="20"/>
                <w:rtl w:val="0"/>
              </w:rPr>
              <w:t xml:space="preserve">Organización del trabajo en grupo - Desarrollo de la memoria</w:t>
            </w:r>
          </w:p>
        </w:tc>
      </w:tr>
      <w:tr>
        <w:trPr>
          <w:cantSplit w:val="0"/>
          <w:tblHeader w:val="0"/>
        </w:trPr>
        <w:tc>
          <w:tcPr>
            <w:vAlign w:val="center"/>
          </w:tcPr>
          <w:p w:rsidR="00000000" w:rsidDel="00000000" w:rsidP="00000000" w:rsidRDefault="00000000" w:rsidRPr="00000000" w14:paraId="00000062">
            <w:pPr>
              <w:tabs>
                <w:tab w:val="right" w:leader="none" w:pos="9061"/>
              </w:tabs>
              <w:jc w:val="center"/>
              <w:rPr>
                <w:b w:val="0"/>
                <w:bCs w:val="0"/>
                <w:sz w:val="20"/>
                <w:szCs w:val="20"/>
              </w:rPr>
            </w:pPr>
            <w:r w:rsidDel="00000000" w:rsidR="00000000" w:rsidRPr="00000000">
              <w:rPr>
                <w:b w:val="0"/>
                <w:bCs w:val="0"/>
                <w:sz w:val="20"/>
                <w:szCs w:val="20"/>
                <w:rtl w:val="0"/>
              </w:rPr>
              <w:t xml:space="preserve">Apartado de la memoria</w:t>
            </w:r>
          </w:p>
        </w:tc>
        <w:tc>
          <w:tcPr>
            <w:vAlign w:val="center"/>
          </w:tcPr>
          <w:p w:rsidR="00000000" w:rsidDel="00000000" w:rsidP="00000000" w:rsidRDefault="00000000" w:rsidRPr="00000000" w14:paraId="00000063">
            <w:pPr>
              <w:tabs>
                <w:tab w:val="right" w:leader="none" w:pos="9061"/>
              </w:tabs>
              <w:jc w:val="center"/>
              <w:rPr>
                <w:b w:val="1"/>
                <w:bCs w:val="1"/>
                <w:sz w:val="20"/>
                <w:szCs w:val="20"/>
              </w:rPr>
            </w:pPr>
            <w:r w:rsidDel="00000000" w:rsidR="00000000" w:rsidRPr="00000000">
              <w:rPr>
                <w:b w:val="1"/>
                <w:bCs w:val="1"/>
                <w:sz w:val="20"/>
                <w:szCs w:val="20"/>
                <w:rtl w:val="0"/>
              </w:rPr>
              <w:t xml:space="preserve">Responsables</w:t>
            </w:r>
          </w:p>
        </w:tc>
      </w:tr>
      <w:tr>
        <w:trPr>
          <w:cantSplit w:val="0"/>
          <w:tblHeader w:val="0"/>
        </w:trPr>
        <w:tc>
          <w:tcPr>
            <w:vAlign w:val="center"/>
          </w:tcPr>
          <w:p w:rsidR="00000000" w:rsidDel="00000000" w:rsidP="00000000" w:rsidRDefault="00000000" w:rsidRPr="00000000" w14:paraId="00000064">
            <w:pPr>
              <w:tabs>
                <w:tab w:val="right" w:leader="none" w:pos="9061"/>
              </w:tabs>
              <w:jc w:val="left"/>
              <w:rPr>
                <w:b w:val="0"/>
                <w:bCs w:val="0"/>
                <w:sz w:val="20"/>
                <w:szCs w:val="20"/>
              </w:rPr>
            </w:pPr>
            <w:r w:rsidDel="00000000" w:rsidR="00000000" w:rsidRPr="00000000">
              <w:rPr>
                <w:b w:val="0"/>
                <w:bCs w:val="0"/>
                <w:sz w:val="20"/>
                <w:szCs w:val="20"/>
                <w:rtl w:val="0"/>
              </w:rPr>
              <w:t xml:space="preserve">Introducción</w:t>
            </w:r>
          </w:p>
        </w:tc>
        <w:tc>
          <w:tcPr>
            <w:vAlign w:val="center"/>
          </w:tcPr>
          <w:p w:rsidR="00000000" w:rsidDel="00000000" w:rsidP="00000000" w:rsidRDefault="00000000" w:rsidRPr="00000000" w14:paraId="00000065">
            <w:pPr>
              <w:tabs>
                <w:tab w:val="right" w:leader="none" w:pos="9061"/>
              </w:tabs>
              <w:jc w:val="left"/>
              <w:rPr>
                <w:b w:val="1"/>
                <w:bCs w:val="1"/>
                <w:sz w:val="20"/>
                <w:szCs w:val="20"/>
              </w:rPr>
            </w:pPr>
            <w:r w:rsidDel="00000000" w:rsidR="00000000" w:rsidRPr="00000000">
              <w:rPr>
                <w:sz w:val="20"/>
                <w:szCs w:val="20"/>
                <w:rtl w:val="0"/>
              </w:rPr>
              <w:t xml:space="preserve">F. Aguiló y R.Martín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tabs>
                <w:tab w:val="right" w:leader="none" w:pos="9061"/>
              </w:tabs>
              <w:jc w:val="left"/>
              <w:rPr>
                <w:b w:val="0"/>
                <w:bCs w:val="0"/>
                <w:sz w:val="20"/>
                <w:szCs w:val="20"/>
              </w:rPr>
            </w:pPr>
            <w:r w:rsidDel="00000000" w:rsidR="00000000" w:rsidRPr="00000000">
              <w:rPr>
                <w:b w:val="0"/>
                <w:bCs w:val="0"/>
                <w:sz w:val="20"/>
                <w:szCs w:val="20"/>
                <w:rtl w:val="0"/>
              </w:rPr>
              <w:t xml:space="preserve">Contexto y estado del arte</w:t>
            </w:r>
          </w:p>
        </w:tc>
        <w:tc>
          <w:tcPr>
            <w:vAlign w:val="center"/>
          </w:tcPr>
          <w:p w:rsidR="00000000" w:rsidDel="00000000" w:rsidP="00000000" w:rsidRDefault="00000000" w:rsidRPr="00000000" w14:paraId="00000067">
            <w:pPr>
              <w:tabs>
                <w:tab w:val="right" w:leader="none" w:pos="9061"/>
              </w:tabs>
              <w:jc w:val="left"/>
              <w:rPr>
                <w:b w:val="1"/>
                <w:bCs w:val="1"/>
                <w:sz w:val="20"/>
                <w:szCs w:val="20"/>
              </w:rPr>
            </w:pPr>
            <w:r w:rsidDel="00000000" w:rsidR="00000000" w:rsidRPr="00000000">
              <w:rPr>
                <w:sz w:val="20"/>
                <w:szCs w:val="20"/>
                <w:rtl w:val="0"/>
              </w:rPr>
              <w:t xml:space="preserve">F. Aguiló y R.Martín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tabs>
                <w:tab w:val="right" w:leader="none" w:pos="9061"/>
              </w:tabs>
              <w:jc w:val="left"/>
              <w:rPr>
                <w:b w:val="0"/>
                <w:bCs w:val="0"/>
                <w:sz w:val="20"/>
                <w:szCs w:val="20"/>
              </w:rPr>
            </w:pPr>
            <w:r w:rsidDel="00000000" w:rsidR="00000000" w:rsidRPr="00000000">
              <w:rPr>
                <w:b w:val="0"/>
                <w:bCs w:val="0"/>
                <w:sz w:val="20"/>
                <w:szCs w:val="20"/>
                <w:rtl w:val="0"/>
              </w:rPr>
              <w:t xml:space="preserve">Objetivos y metodología de trabajo</w:t>
            </w:r>
          </w:p>
        </w:tc>
        <w:tc>
          <w:tcPr>
            <w:vAlign w:val="center"/>
          </w:tcPr>
          <w:p w:rsidR="00000000" w:rsidDel="00000000" w:rsidP="00000000" w:rsidRDefault="00000000" w:rsidRPr="00000000" w14:paraId="00000069">
            <w:pPr>
              <w:tabs>
                <w:tab w:val="right" w:leader="none" w:pos="9061"/>
              </w:tabs>
              <w:jc w:val="left"/>
              <w:rPr>
                <w:b w:val="1"/>
                <w:bCs w:val="1"/>
                <w:sz w:val="20"/>
                <w:szCs w:val="20"/>
              </w:rPr>
            </w:pPr>
            <w:r w:rsidDel="00000000" w:rsidR="00000000" w:rsidRPr="00000000">
              <w:rPr>
                <w:sz w:val="20"/>
                <w:szCs w:val="20"/>
                <w:rtl w:val="0"/>
              </w:rPr>
              <w:t xml:space="preserve">F. Aguiló y R.Martín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tabs>
                <w:tab w:val="right" w:leader="none" w:pos="9061"/>
              </w:tabs>
              <w:jc w:val="left"/>
              <w:rPr>
                <w:b w:val="0"/>
                <w:bCs w:val="0"/>
                <w:sz w:val="20"/>
                <w:szCs w:val="20"/>
              </w:rPr>
            </w:pPr>
            <w:r w:rsidDel="00000000" w:rsidR="00000000" w:rsidRPr="00000000">
              <w:rPr>
                <w:b w:val="0"/>
                <w:bCs w:val="0"/>
                <w:sz w:val="20"/>
                <w:szCs w:val="20"/>
                <w:rtl w:val="0"/>
              </w:rPr>
              <w:t xml:space="preserve">Marco normativo</w:t>
            </w:r>
          </w:p>
        </w:tc>
        <w:tc>
          <w:tcPr>
            <w:vAlign w:val="center"/>
          </w:tcPr>
          <w:p w:rsidR="00000000" w:rsidDel="00000000" w:rsidP="00000000" w:rsidRDefault="00000000" w:rsidRPr="00000000" w14:paraId="0000006B">
            <w:pPr>
              <w:tabs>
                <w:tab w:val="right" w:leader="none" w:pos="9061"/>
              </w:tabs>
              <w:jc w:val="left"/>
              <w:rPr>
                <w:b w:val="1"/>
                <w:bCs w:val="1"/>
                <w:sz w:val="20"/>
                <w:szCs w:val="20"/>
              </w:rPr>
            </w:pPr>
            <w:r w:rsidDel="00000000" w:rsidR="00000000" w:rsidRPr="00000000">
              <w:rPr>
                <w:sz w:val="20"/>
                <w:szCs w:val="20"/>
                <w:rtl w:val="0"/>
              </w:rPr>
              <w:t xml:space="preserve">F. Aguiló y R.Martín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tabs>
                <w:tab w:val="right" w:leader="none" w:pos="9061"/>
              </w:tabs>
              <w:jc w:val="left"/>
              <w:rPr>
                <w:b w:val="0"/>
                <w:bCs w:val="0"/>
                <w:sz w:val="20"/>
                <w:szCs w:val="20"/>
              </w:rPr>
            </w:pPr>
            <w:r w:rsidDel="00000000" w:rsidR="00000000" w:rsidRPr="00000000">
              <w:rPr>
                <w:b w:val="0"/>
                <w:bCs w:val="0"/>
                <w:sz w:val="20"/>
                <w:szCs w:val="20"/>
                <w:rtl w:val="0"/>
              </w:rPr>
              <w:t xml:space="preserve">Desarrollo: Dataset y grafo geopolítico</w:t>
            </w:r>
          </w:p>
        </w:tc>
        <w:tc>
          <w:tcPr>
            <w:vAlign w:val="center"/>
          </w:tcPr>
          <w:p w:rsidR="00000000" w:rsidDel="00000000" w:rsidP="00000000" w:rsidRDefault="00000000" w:rsidRPr="00000000" w14:paraId="0000006D">
            <w:pPr>
              <w:tabs>
                <w:tab w:val="right" w:leader="none" w:pos="9061"/>
              </w:tabs>
              <w:jc w:val="left"/>
              <w:rPr>
                <w:b w:val="1"/>
                <w:bCs w:val="1"/>
                <w:sz w:val="20"/>
                <w:szCs w:val="20"/>
              </w:rPr>
            </w:pPr>
            <w:r w:rsidDel="00000000" w:rsidR="00000000" w:rsidRPr="00000000">
              <w:rPr>
                <w:sz w:val="20"/>
                <w:szCs w:val="20"/>
                <w:rtl w:val="0"/>
              </w:rPr>
              <w:t xml:space="preserve">F. Aguiló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tabs>
                <w:tab w:val="right" w:leader="none" w:pos="9061"/>
              </w:tabs>
              <w:jc w:val="left"/>
              <w:rPr>
                <w:b w:val="0"/>
                <w:bCs w:val="0"/>
                <w:sz w:val="20"/>
                <w:szCs w:val="20"/>
              </w:rPr>
            </w:pPr>
            <w:r w:rsidDel="00000000" w:rsidR="00000000" w:rsidRPr="00000000">
              <w:rPr>
                <w:b w:val="0"/>
                <w:bCs w:val="0"/>
                <w:sz w:val="20"/>
                <w:szCs w:val="20"/>
                <w:rtl w:val="0"/>
              </w:rPr>
              <w:t xml:space="preserve">Desarrollo: Modelo GNN y evaluación </w:t>
            </w:r>
          </w:p>
        </w:tc>
        <w:tc>
          <w:tcPr>
            <w:vAlign w:val="center"/>
          </w:tcPr>
          <w:p w:rsidR="00000000" w:rsidDel="00000000" w:rsidP="00000000" w:rsidRDefault="00000000" w:rsidRPr="00000000" w14:paraId="0000006F">
            <w:pPr>
              <w:tabs>
                <w:tab w:val="right" w:leader="none" w:pos="9061"/>
              </w:tabs>
              <w:jc w:val="left"/>
              <w:rPr>
                <w:b w:val="1"/>
                <w:bCs w:val="1"/>
                <w:sz w:val="20"/>
                <w:szCs w:val="20"/>
              </w:rPr>
            </w:pPr>
            <w:r w:rsidDel="00000000" w:rsidR="00000000" w:rsidRPr="00000000">
              <w:rPr>
                <w:sz w:val="20"/>
                <w:szCs w:val="20"/>
                <w:rtl w:val="0"/>
              </w:rPr>
              <w:t xml:space="preserve">R.Martín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tabs>
                <w:tab w:val="right" w:leader="none" w:pos="9061"/>
              </w:tabs>
              <w:jc w:val="left"/>
              <w:rPr>
                <w:b w:val="0"/>
                <w:bCs w:val="0"/>
                <w:sz w:val="20"/>
                <w:szCs w:val="20"/>
              </w:rPr>
            </w:pPr>
            <w:r w:rsidDel="00000000" w:rsidR="00000000" w:rsidRPr="00000000">
              <w:rPr>
                <w:b w:val="0"/>
                <w:bCs w:val="0"/>
                <w:sz w:val="20"/>
                <w:szCs w:val="20"/>
                <w:rtl w:val="0"/>
              </w:rPr>
              <w:t xml:space="preserve">Conclusiones</w:t>
            </w:r>
          </w:p>
        </w:tc>
        <w:tc>
          <w:tcPr>
            <w:vAlign w:val="center"/>
          </w:tcPr>
          <w:p w:rsidR="00000000" w:rsidDel="00000000" w:rsidP="00000000" w:rsidRDefault="00000000" w:rsidRPr="00000000" w14:paraId="00000071">
            <w:pPr>
              <w:tabs>
                <w:tab w:val="right" w:leader="none" w:pos="9061"/>
              </w:tabs>
              <w:jc w:val="left"/>
              <w:rPr>
                <w:sz w:val="20"/>
                <w:szCs w:val="20"/>
              </w:rPr>
            </w:pPr>
            <w:r w:rsidDel="00000000" w:rsidR="00000000" w:rsidRPr="00000000">
              <w:rPr>
                <w:sz w:val="20"/>
                <w:szCs w:val="20"/>
                <w:rtl w:val="0"/>
              </w:rPr>
              <w:t xml:space="preserve">F. Aguiló y R.Martín</w:t>
            </w:r>
          </w:p>
        </w:tc>
      </w:tr>
    </w:tbl>
    <w:p w:rsidR="00000000" w:rsidDel="00000000" w:rsidP="00000000" w:rsidRDefault="00000000" w:rsidRPr="00000000" w14:paraId="00000072">
      <w:pPr>
        <w:spacing w:after="0" w:line="276" w:lineRule="auto"/>
        <w:ind w:left="-113" w:right="-215" w:firstLine="0"/>
        <w:jc w:val="center"/>
        <w:rPr>
          <w:color w:val="595959"/>
          <w:sz w:val="19"/>
          <w:szCs w:val="19"/>
        </w:rPr>
      </w:pPr>
      <w:r w:rsidDel="00000000" w:rsidR="00000000" w:rsidRPr="00000000">
        <w:rPr>
          <w:color w:val="595959"/>
          <w:sz w:val="19"/>
          <w:szCs w:val="19"/>
          <w:rtl w:val="0"/>
        </w:rPr>
        <w:t xml:space="preserve">Fuente: Elaboración propia.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color w:val="0098cd"/>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Fonts w:ascii="Calibri" w:cs="Calibri" w:eastAsia="Calibri" w:hAnsi="Calibri"/>
          <w:color w:val="0098cd"/>
          <w:sz w:val="28"/>
          <w:szCs w:val="28"/>
          <w:rtl w:val="0"/>
        </w:rPr>
        <w:t xml:space="preserve">Objetivo del TFE desde el punto de vista de la adquisición de conocimientos</w:t>
      </w:r>
      <w:r w:rsidDel="00000000" w:rsidR="00000000" w:rsidRPr="00000000">
        <w:rPr>
          <w:rtl w:val="0"/>
        </w:rPr>
      </w:r>
    </w:p>
    <w:p w:rsidR="00000000" w:rsidDel="00000000" w:rsidP="00000000" w:rsidRDefault="00000000" w:rsidRPr="00000000" w14:paraId="00000076">
      <w:pPr>
        <w:rPr>
          <w:rFonts w:ascii="Calibri" w:cs="Calibri" w:eastAsia="Calibri" w:hAnsi="Calibri"/>
          <w:b w:val="0"/>
          <w:bCs w:val="0"/>
          <w:i w:val="0"/>
          <w:iCs w:val="0"/>
          <w:smallCaps w:val="0"/>
          <w:strike w:val="0"/>
          <w:color w:val="0098cd"/>
          <w:sz w:val="28"/>
          <w:szCs w:val="28"/>
          <w:u w:val="none"/>
          <w:shd w:fill="auto" w:val="clear"/>
          <w:vertAlign w:val="baseline"/>
        </w:rPr>
      </w:pPr>
      <w:r w:rsidDel="00000000" w:rsidR="00000000" w:rsidRPr="00000000">
        <w:rPr>
          <w:rtl w:val="0"/>
        </w:rPr>
        <w:t xml:space="preserve">Este TFE incorpora dos áreas diferenciadas: por un lado, la ingeniería de datos y representación del conocimiento aplicada a la transformación de datos geopolíticos en estructuras de grafo y, por otro, el diseño e implementación de arquitecturas de deep learning sobre grafos para predicción financiera. Cada una de estas áreas requiere competencias distintas que, combinadas, aportan una visión completa del proceso desde la obtención del dato hasta la predicción final.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0"/>
          <w:bCs w:val="0"/>
          <w:i w:val="0"/>
          <w:iCs w:val="0"/>
          <w:smallCaps w:val="0"/>
          <w:strike w:val="0"/>
          <w:color w:val="0098cd"/>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98cd"/>
          <w:sz w:val="28"/>
          <w:szCs w:val="28"/>
          <w:u w:val="none"/>
          <w:shd w:fill="auto" w:val="clear"/>
          <w:vertAlign w:val="baseline"/>
          <w:rtl w:val="0"/>
        </w:rPr>
        <w:t xml:space="preserve">Mecanismos de coordinación empleados</w:t>
      </w:r>
    </w:p>
    <w:p w:rsidR="00000000" w:rsidDel="00000000" w:rsidP="00000000" w:rsidRDefault="00000000" w:rsidRPr="00000000" w14:paraId="00000078">
      <w:pPr>
        <w:rPr>
          <w:rFonts w:ascii="Calibri" w:cs="Calibri" w:eastAsia="Calibri" w:hAnsi="Calibri"/>
          <w:b w:val="1"/>
          <w:bCs w:val="1"/>
          <w:i w:val="0"/>
          <w:iCs w:val="0"/>
          <w:smallCaps w:val="0"/>
          <w:strike w:val="0"/>
          <w:color w:val="0098cd"/>
          <w:sz w:val="36"/>
          <w:szCs w:val="36"/>
          <w:u w:val="none"/>
          <w:shd w:fill="auto" w:val="clear"/>
          <w:vertAlign w:val="baseline"/>
        </w:rPr>
        <w:sectPr>
          <w:headerReference r:id="rId10" w:type="default"/>
          <w:footerReference r:id="rId11" w:type="default"/>
          <w:pgSz w:h="16838" w:w="11906" w:orient="portrait"/>
          <w:pgMar w:bottom="1418" w:top="1418" w:left="1701" w:right="1134" w:header="709" w:footer="709"/>
          <w:pgNumType w:start="1"/>
          <w:titlePg w:val="1"/>
        </w:sectPr>
      </w:pPr>
      <w:r w:rsidDel="00000000" w:rsidR="00000000" w:rsidRPr="00000000">
        <w:rPr>
          <w:rtl w:val="0"/>
        </w:rPr>
        <w:t xml:space="preserve">Las herramientas utilizadas para la coordinación son: Trello, Discord, Google Drive y GitHub. Utilizando una organización semanal del trabajo mezclando una reunión semanal con reuniones esporádicas en momentos necesarios.</w:t>
      </w:r>
      <w:r w:rsidDel="00000000" w:rsidR="00000000" w:rsidRPr="00000000">
        <w:rPr>
          <w:rtl w:val="0"/>
        </w:rPr>
      </w:r>
    </w:p>
    <w:p w:rsidR="00000000" w:rsidDel="00000000" w:rsidP="00000000" w:rsidRDefault="00000000" w:rsidRPr="00000000" w14:paraId="00000079">
      <w:pPr>
        <w:pStyle w:val="Heading1"/>
        <w:numPr>
          <w:ilvl w:val="0"/>
          <w:numId w:val="7"/>
        </w:numPr>
        <w:ind w:left="360" w:hanging="360"/>
        <w:rPr/>
      </w:pPr>
      <w:bookmarkStart w:colFirst="0" w:colLast="0" w:name="_heading=h.y5xlvnytek7q" w:id="8"/>
      <w:bookmarkEnd w:id="8"/>
      <w:r w:rsidDel="00000000" w:rsidR="00000000" w:rsidRPr="00000000">
        <w:rPr>
          <w:smallCaps w:val="0"/>
          <w:rtl w:val="0"/>
        </w:rPr>
        <w:t xml:space="preserve">Introducción </w:t>
      </w:r>
      <w:r w:rsidDel="00000000" w:rsidR="00000000" w:rsidRPr="00000000">
        <w:rPr>
          <w:rtl w:val="0"/>
        </w:rPr>
      </w:r>
    </w:p>
    <w:p w:rsidR="00000000" w:rsidDel="00000000" w:rsidP="00000000" w:rsidRDefault="00000000" w:rsidRPr="00000000" w14:paraId="0000007A">
      <w:pPr>
        <w:pStyle w:val="Heading2"/>
        <w:numPr>
          <w:ilvl w:val="1"/>
          <w:numId w:val="7"/>
        </w:numPr>
        <w:ind w:left="1000" w:hanging="432"/>
        <w:rPr/>
      </w:pPr>
      <w:bookmarkStart w:colFirst="0" w:colLast="0" w:name="_heading=h.5g2uhanfnp4" w:id="9"/>
      <w:bookmarkEnd w:id="9"/>
      <w:r w:rsidDel="00000000" w:rsidR="00000000" w:rsidRPr="00000000">
        <w:rPr>
          <w:smallCaps w:val="0"/>
          <w:rtl w:val="0"/>
        </w:rPr>
        <w:t xml:space="preserve">Motivación</w:t>
      </w:r>
      <w:r w:rsidDel="00000000" w:rsidR="00000000" w:rsidRPr="00000000">
        <w:rPr>
          <w:rtl w:val="0"/>
        </w:rPr>
      </w:r>
    </w:p>
    <w:p w:rsidR="00000000" w:rsidDel="00000000" w:rsidP="00000000" w:rsidRDefault="00000000" w:rsidRPr="00000000" w14:paraId="0000007B">
      <w:pPr>
        <w:spacing w:after="200" w:before="240" w:lineRule="auto"/>
        <w:rPr/>
      </w:pPr>
      <w:r w:rsidDel="00000000" w:rsidR="00000000" w:rsidRPr="00000000">
        <w:rPr>
          <w:rtl w:val="0"/>
        </w:rPr>
        <w:t xml:space="preserve">La inversión en mercados financieros es un recurso indispensable para la asignación eficiente de capital, la financiación de empresas y estados, la gestión del riesgo y la formación de precios. Desde el surgimiento de la inteligencia artificial, se han intentado aplicar estos modelos para la predicción automatizada de mercado gracias a la gran cantidad de datos de los que disponemos para entrenarlas y el gran potencial que demuestran tener para la gestión de ellos a un nivel inalcanzable para el ser humano (Bao et al., 2025). </w:t>
      </w:r>
    </w:p>
    <w:p w:rsidR="00000000" w:rsidDel="00000000" w:rsidP="00000000" w:rsidRDefault="00000000" w:rsidRPr="00000000" w14:paraId="0000007C">
      <w:pPr>
        <w:spacing w:after="200" w:before="240" w:lineRule="auto"/>
        <w:rPr/>
      </w:pPr>
      <w:r w:rsidDel="00000000" w:rsidR="00000000" w:rsidRPr="00000000">
        <w:rPr>
          <w:rtl w:val="0"/>
        </w:rPr>
        <w:t xml:space="preserve">Tradicionalmente estos modelos se han basado únicamente en datos financieros, aunque con el desarrollo de nuevos enfoques en el planteamiento de modelos de Inteligencia Artificial cada vez más se están buscando modelos híbridos o más balanceados. Estos nuevos modelos buscan incorporar información externa al mercado, pues el mercado se ve directamente afectado de factores sociales, militares, políticos o científicos entre otros que usando solamente datos económicos no se podrían identificar claramente (Bao et al., 2025; Patel et al., 2025).</w:t>
      </w:r>
    </w:p>
    <w:p w:rsidR="00000000" w:rsidDel="00000000" w:rsidP="00000000" w:rsidRDefault="00000000" w:rsidRPr="00000000" w14:paraId="0000007D">
      <w:pPr>
        <w:spacing w:after="200" w:before="240" w:lineRule="auto"/>
        <w:rPr/>
      </w:pPr>
      <w:r w:rsidDel="00000000" w:rsidR="00000000" w:rsidRPr="00000000">
        <w:rPr>
          <w:rtl w:val="0"/>
        </w:rPr>
        <w:t xml:space="preserve">Aún con todo esto, que un modelo sea completo y abarque muchos registros distintos no garantiza la viabilidad de este, pues cuantos más datos distintos más difícil se vuelve balancear su aprendizaje y gestionar su sesgo. </w:t>
      </w:r>
    </w:p>
    <w:p w:rsidR="00000000" w:rsidDel="00000000" w:rsidP="00000000" w:rsidRDefault="00000000" w:rsidRPr="00000000" w14:paraId="0000007E">
      <w:pPr>
        <w:spacing w:after="200" w:before="240" w:lineRule="auto"/>
        <w:rPr/>
      </w:pPr>
      <w:r w:rsidDel="00000000" w:rsidR="00000000" w:rsidRPr="00000000">
        <w:rPr>
          <w:rtl w:val="0"/>
        </w:rPr>
        <w:t xml:space="preserve">En este trabajo se persigue la creación de un modelo de predicción de mercados financieros usando un modelo híbrido aplicado al índice S&amp;P 500, que agrupa las 500 mayores empresas cotizadas en Estados Unidos. El factor diferencial de nuestro modelo es la anexión de un modelo que analice la actualidad geopolítica del entorno que, añadido a la información histórica del S&amp;P 500, ayude al modelo a adelantarse a fluctuaciones considerables del mercado financiero estadounidense.</w:t>
      </w:r>
    </w:p>
    <w:p w:rsidR="00000000" w:rsidDel="00000000" w:rsidP="00000000" w:rsidRDefault="00000000" w:rsidRPr="00000000" w14:paraId="0000007F">
      <w:pPr>
        <w:spacing w:after="200" w:before="240" w:lineRule="auto"/>
        <w:rPr/>
      </w:pPr>
      <w:r w:rsidDel="00000000" w:rsidR="00000000" w:rsidRPr="00000000">
        <w:rPr>
          <w:rtl w:val="0"/>
        </w:rPr>
        <w:t xml:space="preserve">La idea es la utilización de una base de datos global de eventos geopolíticos para la creación de una red neuronal en forma de grafo relacional (GNN) con la que poder plasmar el estado del mundo y ayudar a entender las razones de algunas variaciones del mercado a corto plazo.</w:t>
      </w:r>
    </w:p>
    <w:p w:rsidR="00000000" w:rsidDel="00000000" w:rsidP="00000000" w:rsidRDefault="00000000" w:rsidRPr="00000000" w14:paraId="00000080">
      <w:pPr>
        <w:spacing w:after="200" w:before="240" w:lineRule="auto"/>
        <w:rPr/>
      </w:pPr>
      <w:r w:rsidDel="00000000" w:rsidR="00000000" w:rsidRPr="00000000">
        <w:rPr>
          <w:rtl w:val="0"/>
        </w:rPr>
        <w:t xml:space="preserve">El objetivo final es la creación de un modelo que prediga la subida, bajada o neutralidad del S&amp;P 500 antes de la apertura de mercado para ese día.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numPr>
          <w:ilvl w:val="1"/>
          <w:numId w:val="7"/>
        </w:numPr>
        <w:ind w:left="1000" w:hanging="432"/>
        <w:rPr/>
      </w:pPr>
      <w:bookmarkStart w:colFirst="0" w:colLast="0" w:name="_heading=h.2s4gsxuvmjfg" w:id="10"/>
      <w:bookmarkEnd w:id="10"/>
      <w:r w:rsidDel="00000000" w:rsidR="00000000" w:rsidRPr="00000000">
        <w:rPr>
          <w:smallCaps w:val="0"/>
          <w:rtl w:val="0"/>
        </w:rPr>
        <w:t xml:space="preserve">Planteamiento del trabajo</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numPr>
          <w:ilvl w:val="1"/>
          <w:numId w:val="7"/>
        </w:numPr>
        <w:ind w:left="1000" w:hanging="432"/>
        <w:rPr/>
      </w:pPr>
      <w:bookmarkStart w:colFirst="0" w:colLast="0" w:name="_heading=h.dqlc7yc7y37y" w:id="11"/>
      <w:bookmarkEnd w:id="11"/>
      <w:r w:rsidDel="00000000" w:rsidR="00000000" w:rsidRPr="00000000">
        <w:rPr>
          <w:smallCaps w:val="0"/>
          <w:rtl w:val="0"/>
        </w:rPr>
        <w:t xml:space="preserve">Estructura del trabajo</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7"/>
        </w:numPr>
        <w:ind w:left="360" w:hanging="360"/>
        <w:rPr>
          <w:smallCaps w:val="0"/>
        </w:rPr>
      </w:pPr>
      <w:bookmarkStart w:colFirst="0" w:colLast="0" w:name="_heading=h.lx24j762zpst" w:id="12"/>
      <w:bookmarkEnd w:id="12"/>
      <w:r w:rsidDel="00000000" w:rsidR="00000000" w:rsidRPr="00000000">
        <w:rPr>
          <w:smallCaps w:val="0"/>
          <w:rtl w:val="0"/>
        </w:rPr>
        <w:t xml:space="preserve">Contexto y estado del arte</w:t>
      </w:r>
    </w:p>
    <w:p w:rsidR="00000000" w:rsidDel="00000000" w:rsidP="00000000" w:rsidRDefault="00000000" w:rsidRPr="00000000" w14:paraId="00000088">
      <w:pPr>
        <w:pStyle w:val="Heading2"/>
        <w:numPr>
          <w:ilvl w:val="1"/>
          <w:numId w:val="7"/>
        </w:numPr>
        <w:ind w:left="716" w:hanging="432"/>
        <w:rPr>
          <w:smallCaps w:val="0"/>
        </w:rPr>
      </w:pPr>
      <w:bookmarkStart w:colFirst="0" w:colLast="0" w:name="_heading=h.5jha3cuh3gb3" w:id="13"/>
      <w:bookmarkEnd w:id="13"/>
      <w:sdt>
        <w:sdtPr>
          <w:id w:val="1877318394"/>
          <w:tag w:val="goog_rdk_2"/>
        </w:sdtPr>
        <w:sdtContent>
          <w:commentRangeStart w:id="2"/>
        </w:sdtContent>
      </w:sdt>
      <w:r w:rsidDel="00000000" w:rsidR="00000000" w:rsidRPr="00000000">
        <w:rPr>
          <w:smallCaps w:val="0"/>
          <w:rtl w:val="0"/>
        </w:rPr>
        <w:t xml:space="preserve">Contexto del problema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tl w:val="0"/>
        </w:rPr>
        <w:t xml:space="preserve">En este punto se presentan los fundamentos teóricos sobre los que se sustenta el trabajo, comenzando por la problemática de la predicción de mercados financieros, continuando con el concepto de riesgo geopolítico y su impacto en los mercados, describiendo las bases de datos de eventos geopolíticos disponibles, y finalizando con las redes neuronales de grafos como herramienta técnica para el procesamiento de estos datos.</w:t>
      </w:r>
    </w:p>
    <w:p w:rsidR="00000000" w:rsidDel="00000000" w:rsidP="00000000" w:rsidRDefault="00000000" w:rsidRPr="00000000" w14:paraId="0000008A">
      <w:pPr>
        <w:pStyle w:val="Heading3"/>
        <w:keepLines w:val="1"/>
        <w:spacing w:before="360" w:line="276" w:lineRule="auto"/>
        <w:ind w:left="0" w:firstLine="0"/>
        <w:jc w:val="left"/>
        <w:rPr/>
      </w:pPr>
      <w:bookmarkStart w:colFirst="0" w:colLast="0" w:name="_heading=h.3740rh3f9cy2" w:id="14"/>
      <w:bookmarkEnd w:id="14"/>
      <w:r w:rsidDel="00000000" w:rsidR="00000000" w:rsidRPr="00000000">
        <w:rPr>
          <w:rtl w:val="0"/>
        </w:rPr>
        <w:t xml:space="preserve">2.1.1 Predicción de mercados financieros</w:t>
      </w:r>
    </w:p>
    <w:p w:rsidR="00000000" w:rsidDel="00000000" w:rsidP="00000000" w:rsidRDefault="00000000" w:rsidRPr="00000000" w14:paraId="0000008B">
      <w:pPr>
        <w:spacing w:after="200" w:before="240" w:lineRule="auto"/>
        <w:rPr/>
      </w:pPr>
      <w:r w:rsidDel="00000000" w:rsidR="00000000" w:rsidRPr="00000000">
        <w:rPr>
          <w:rtl w:val="0"/>
        </w:rPr>
        <w:t xml:space="preserve">La predicción de mercados financieros es un objetivo que el ser humano lleva persiguiendo desde la propia invención de estos mercados y, en la actualidad, con el avance de la tecnología y la capacidad de computación, cada vez tenemos más herramientas para ello. Pero la predicción de sistemas tan complejos no es algo trivial que pueda resolverse únicamente con capacidad de cálculo, existen multitud de factores que dificultan enormemente su comprensión: </w:t>
      </w:r>
    </w:p>
    <w:p w:rsidR="00000000" w:rsidDel="00000000" w:rsidP="00000000" w:rsidRDefault="00000000" w:rsidRPr="00000000" w14:paraId="0000008C">
      <w:pPr>
        <w:spacing w:after="200" w:before="240" w:lineRule="auto"/>
        <w:rPr/>
      </w:pPr>
      <w:r w:rsidDel="00000000" w:rsidR="00000000" w:rsidRPr="00000000">
        <w:rPr>
          <w:rtl w:val="0"/>
        </w:rPr>
        <w:t xml:space="preserve">El primer factor es la no linealidad, en un sistema lineal las consecuencias son respuestas fijas y predecibles a ciertas causas específicas. Pero la estructura caótica y entramada de los mercados financieros cambia las relaciones entre sus elementos de manera opaca al ojo humano debido a su complejidad, convirtiendo un solo movimiento en una sucesión de cambios a primera vista inconexos creando una tormenta a partir de una sola ola. </w:t>
      </w:r>
    </w:p>
    <w:p w:rsidR="00000000" w:rsidDel="00000000" w:rsidP="00000000" w:rsidRDefault="00000000" w:rsidRPr="00000000" w14:paraId="0000008D">
      <w:pPr>
        <w:spacing w:after="200" w:before="240" w:lineRule="auto"/>
        <w:rPr/>
      </w:pPr>
      <w:r w:rsidDel="00000000" w:rsidR="00000000" w:rsidRPr="00000000">
        <w:rPr>
          <w:rtl w:val="0"/>
        </w:rPr>
        <w:t xml:space="preserve">Otro factor es la volatilidad, cada segundo se crea información nueva que puede o no alterar la visión sobre cualquier elemento remotamente relacionado con el mercado a predecir. Además, esta información puede ser inventada o generada artificialmente por algún interesado para otros fines, lo que desencadena una variación brusca, impredecible e irregular de los precios en cuestión de minutos. </w:t>
      </w:r>
    </w:p>
    <w:p w:rsidR="00000000" w:rsidDel="00000000" w:rsidP="00000000" w:rsidRDefault="00000000" w:rsidRPr="00000000" w14:paraId="0000008E">
      <w:pPr>
        <w:spacing w:after="200" w:before="240" w:lineRule="auto"/>
        <w:rPr/>
      </w:pPr>
      <w:r w:rsidDel="00000000" w:rsidR="00000000" w:rsidRPr="00000000">
        <w:rPr>
          <w:rtl w:val="0"/>
        </w:rPr>
        <w:t xml:space="preserve">A estos dos factores debemos sumarles la interacción de múltiples variables dinámicas: dependiendo simultáneamente de datos macroeconómicos, situación de las empresas, sentimiento de los inversores, eventos geopolíticos, decisiones de bancos centrales, divisas y infinitos otros factores que forman un sistema que existe y se ejecuta constantemente, como una cadena infinita de causas y consecuencias donde cada movimiento desencadena otros en todas direcciones. </w:t>
      </w:r>
    </w:p>
    <w:p w:rsidR="00000000" w:rsidDel="00000000" w:rsidP="00000000" w:rsidRDefault="00000000" w:rsidRPr="00000000" w14:paraId="0000008F">
      <w:pPr>
        <w:spacing w:after="200" w:before="240" w:lineRule="auto"/>
        <w:rPr/>
      </w:pPr>
      <w:r w:rsidDel="00000000" w:rsidR="00000000" w:rsidRPr="00000000">
        <w:rPr>
          <w:rtl w:val="0"/>
        </w:rPr>
        <w:t xml:space="preserve">Cualquier modelo predictivo es, por definición, una simplificación de ese sistema cuya complejidad total es inabarcable, de la misma forma que una simulación física no replica cada interacción de la realidad sino las suficientes para producir un resultado útil, un modelo de predicción financiera busca capturar una fracción suficientemente representativa de las dinámicas de un mercado. Este trabajo se centra en capturar concretamente la fracción geopolítica de esas dinámicas.</w:t>
      </w:r>
    </w:p>
    <w:p w:rsidR="00000000" w:rsidDel="00000000" w:rsidP="00000000" w:rsidRDefault="00000000" w:rsidRPr="00000000" w14:paraId="00000090">
      <w:pPr>
        <w:spacing w:after="200" w:before="240" w:lineRule="auto"/>
        <w:rPr/>
      </w:pPr>
      <w:r w:rsidDel="00000000" w:rsidR="00000000" w:rsidRPr="00000000">
        <w:rPr>
          <w:rtl w:val="0"/>
        </w:rPr>
        <w:t xml:space="preserve">Al hablar de la infinita complejidad del mercado, debemos mencionar la hipótesis del mercado eficiente (Fama, 1970), que sostiene la imposibilidad de una predicción consistente al afirmar que los precios de los activos financieros reflejan en todo momento toda la información disponible, lo que implicaría que ningún modelo puede generar ventaja predictiva de forma sostenida. Fama(1907) distingue tres formas de eficiencia: débil (los precios incorporan toda la información histórica), semifuerte (incorporan además toda la información pública) y fuerte (incorporan incluso la información privilegiada). Sin embargo, esta hipótesis ha sido ampliamente cuestionada. Diversos estudios han documentado anomalías e ineficiencias en los mercados (Shiller, 2003), y en particular se ha observado que la información compleja (como la derivada de eventos geopolíticos) no se absorbe de forma instantánea, sino que sus efectos se despliegan progresivamente a lo largo de días o semanas. Es precisamente en ese retardo entre la aparición de la información y su plena incorporación al precio donde los modelos predictivos buscan operar.</w:t>
      </w:r>
    </w:p>
    <w:p w:rsidR="00000000" w:rsidDel="00000000" w:rsidP="00000000" w:rsidRDefault="00000000" w:rsidRPr="00000000" w14:paraId="00000091">
      <w:pPr>
        <w:spacing w:after="200" w:before="240" w:lineRule="auto"/>
        <w:rPr/>
      </w:pPr>
      <w:r w:rsidDel="00000000" w:rsidR="00000000" w:rsidRPr="00000000">
        <w:rPr>
          <w:rtl w:val="0"/>
        </w:rPr>
        <w:t xml:space="preserve">Antes del desarrollo de la Inteligencia Artificial ya existían multitud de técnicas para la predicción y el análisis de mercados, las más relevantes son el análisis fundamental y el análisis técnico, que se exponen a continuación:</w:t>
      </w:r>
    </w:p>
    <w:p w:rsidR="00000000" w:rsidDel="00000000" w:rsidP="00000000" w:rsidRDefault="00000000" w:rsidRPr="00000000" w14:paraId="00000092">
      <w:pPr>
        <w:numPr>
          <w:ilvl w:val="0"/>
          <w:numId w:val="13"/>
        </w:numPr>
        <w:spacing w:after="0" w:before="240" w:lineRule="auto"/>
        <w:ind w:left="720" w:hanging="360"/>
        <w:rPr/>
      </w:pPr>
      <w:r w:rsidDel="00000000" w:rsidR="00000000" w:rsidRPr="00000000">
        <w:rPr>
          <w:rtl w:val="0"/>
        </w:rPr>
        <w:t xml:space="preserve">El análisis fundamental busca determinar el valor intrínseco de un activo financiero, llamado valor fundamental. Este valor se usa posteriormente para relacionarlo con el valor actual de este mismo activo y determinar si está infravalorado o sobrevalorado. </w:t>
      </w:r>
    </w:p>
    <w:p w:rsidR="00000000" w:rsidDel="00000000" w:rsidP="00000000" w:rsidRDefault="00000000" w:rsidRPr="00000000" w14:paraId="00000093">
      <w:pPr>
        <w:numPr>
          <w:ilvl w:val="0"/>
          <w:numId w:val="13"/>
        </w:numPr>
        <w:spacing w:after="200" w:before="0" w:lineRule="auto"/>
        <w:ind w:left="720" w:hanging="360"/>
        <w:rPr/>
      </w:pPr>
      <w:r w:rsidDel="00000000" w:rsidR="00000000" w:rsidRPr="00000000">
        <w:rPr>
          <w:rtl w:val="0"/>
        </w:rPr>
        <w:t xml:space="preserve">El análisis técnico se basa exclusivamente en datos históricos de precio y volumen para intentar predecir movimientos futuros. </w:t>
      </w:r>
    </w:p>
    <w:p w:rsidR="00000000" w:rsidDel="00000000" w:rsidP="00000000" w:rsidRDefault="00000000" w:rsidRPr="00000000" w14:paraId="00000094">
      <w:pPr>
        <w:spacing w:after="200" w:before="240" w:lineRule="auto"/>
        <w:rPr/>
      </w:pPr>
      <w:r w:rsidDel="00000000" w:rsidR="00000000" w:rsidRPr="00000000">
        <w:rPr>
          <w:rtl w:val="0"/>
        </w:rPr>
        <w:t xml:space="preserve">Mientras el análisis fundamental se centra en la empresa, el técnico se centra en la acción y sus rendimientos. Son dos corrientes clásicas de análisis de las que este trabajo se distancia al adoptar un enfoque basado en la adición de datos externos al mercado.</w:t>
      </w:r>
    </w:p>
    <w:p w:rsidR="00000000" w:rsidDel="00000000" w:rsidP="00000000" w:rsidRDefault="00000000" w:rsidRPr="00000000" w14:paraId="00000095">
      <w:pPr>
        <w:spacing w:after="200" w:before="240" w:lineRule="auto"/>
        <w:rPr/>
      </w:pPr>
      <w:r w:rsidDel="00000000" w:rsidR="00000000" w:rsidRPr="00000000">
        <w:rPr>
          <w:rtl w:val="0"/>
        </w:rPr>
        <w:t xml:space="preserve">Si nos fijamos en los modelos de predicción de mercados financieros que han existido hasta ahora, podemos observar una evolución que intenta esquivar los obstáculos mencionados anteriormente. Por un lado tenemos los modelos estadísticos clásicos, como ARIMA o GARCH. ARIMA (AutoRegressive Integrated Moving Average) es un modelo que se basa en predecir un valor futuro basándose en sus valores pasados y en el error de predicción de esos valores pasados. GARCH (Generalized Autoregressive Conditional Heteroskedasticity) funciona de manera parecida, pero está orientado a modelar la volatilidad, intentando predecir la varianza del precio, pero no su valor o dirección. Ambos modelos basan sus predicciones en relaciones lineales, y como hemos visto anteriormente, las relaciones lineales son casi inexistentes en los movimientos de un mercado.</w:t>
      </w:r>
    </w:p>
    <w:p w:rsidR="00000000" w:rsidDel="00000000" w:rsidP="00000000" w:rsidRDefault="00000000" w:rsidRPr="00000000" w14:paraId="00000096">
      <w:pPr>
        <w:spacing w:after="200" w:before="240" w:lineRule="auto"/>
        <w:rPr/>
      </w:pPr>
      <w:r w:rsidDel="00000000" w:rsidR="00000000" w:rsidRPr="00000000">
        <w:rPr>
          <w:rtl w:val="0"/>
        </w:rPr>
        <w:t xml:space="preserve">El gran salto llega con el desarrollo del Machine Learning clásico, con la implementación de técnicas como el Support Vector Machine (SVM) (Cortes y Vapnik, 1995) o el Random Forest (Breiman, 2001), pensados para capturar relaciones no lineales, a diferencia de los modelos estadísticos clásicos. Mientras que SVM busca el hiperplano que permita separar de la mejor manera algo en dos grupos, por ejemplo qué operaciones han sido exitosas o no, Random Forest genera múltiples árboles de decisión, cada uno entrenado con un subconjunto aleatorio de los datos, y combina sus respuestas para producir una predicción más robusta que la de cualquier árbol individual. Este tipo de técnicas mejoran mucho los modelos clásicos, pero fallan cuando buscamos añadir un factor temporal, pues estos modelos tratan cada observación de forma independiente sin considerar su orden cronológico y por ello no incorporan la dimensión temporal de los datos.</w:t>
      </w:r>
    </w:p>
    <w:p w:rsidR="00000000" w:rsidDel="00000000" w:rsidP="00000000" w:rsidRDefault="00000000" w:rsidRPr="00000000" w14:paraId="00000097">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200" w:before="240" w:lineRule="auto"/>
        <w:rPr/>
      </w:pPr>
      <w:r w:rsidDel="00000000" w:rsidR="00000000" w:rsidRPr="00000000">
        <w:rPr>
          <w:rtl w:val="0"/>
        </w:rPr>
        <w:t xml:space="preserve">Con la llegada del Deep Learning y las redes recurrentes llega la capacidad de entender secuencias complejas y añade la capacidad de que el modelo tenga en cuenta la variable tiempo entre sus parámetros. LSTM (Long Short-Term Memory)(Hochreiter y Schmidhuber, 1997) por ejemplo, es una red neuronal diseñada específicamente para tener en cuenta datos secuenciales, usando una estructura única de celda de memoria que juzga la utilidad de la información para saber en qué caso olvidar y en qué caso recordar. Existen también muchas otras derivadas, como GRU (Gated Recurrent Unit)(Cho et al., 2014), que tiene un funcionamiento similar aunque simplificado.</w:t>
      </w:r>
    </w:p>
    <w:p w:rsidR="00000000" w:rsidDel="00000000" w:rsidP="00000000" w:rsidRDefault="00000000" w:rsidRPr="00000000" w14:paraId="00000099">
      <w:pPr>
        <w:spacing w:after="200" w:before="240" w:lineRule="auto"/>
        <w:rPr/>
      </w:pPr>
      <w:r w:rsidDel="00000000" w:rsidR="00000000" w:rsidRPr="00000000">
        <w:rPr>
          <w:rtl w:val="0"/>
        </w:rPr>
        <w:t xml:space="preserve">Finalmente, a día de hoy, los transformers son la arquitectura más puntera y dominante (Vaswani et al., 2017). Se diferencia de las redes recurrentes en el procesamiento de toda la secuencia a la vez y no paso a paso como todos los demás modelos hasta ahora, creando modelos más rápidos en el entrenamiento y mejores en la captación de detalles y relaciones complejas. En la inteligencia artificial aplicada a las finanzas se están aplicando a un ritmo vertiginoso, con modelos como el Temporal Fusion Transformer (TFT)(Lim et al., 2021) creado específicamente para el análisis de series temporales.</w:t>
      </w:r>
    </w:p>
    <w:p w:rsidR="00000000" w:rsidDel="00000000" w:rsidP="00000000" w:rsidRDefault="00000000" w:rsidRPr="00000000" w14:paraId="0000009A">
      <w:pPr>
        <w:spacing w:after="200" w:before="240" w:lineRule="auto"/>
        <w:rPr/>
      </w:pPr>
      <w:r w:rsidDel="00000000" w:rsidR="00000000" w:rsidRPr="00000000">
        <w:rPr>
          <w:rtl w:val="0"/>
        </w:rPr>
        <w:t xml:space="preserve">A fecha de este trabajo, estas arquitecturas de transformers y redes recurrentes se han aplicado principalmente a datos financieros directos, y cada vez más se abren las puertas a enfoques mixtos para poder representar mejor la totalidad del mercado como se expuso en el principio de este marco teórico. Es en estos enfoques mixtos donde se fundamenta nuestro proyecto, añadiendo una capa de geopolítica a la capa financiera estándar.</w:t>
      </w:r>
    </w:p>
    <w:p w:rsidR="00000000" w:rsidDel="00000000" w:rsidP="00000000" w:rsidRDefault="00000000" w:rsidRPr="00000000" w14:paraId="0000009B">
      <w:pPr>
        <w:spacing w:after="200" w:before="240" w:lineRule="auto"/>
        <w:rPr/>
      </w:pPr>
      <w:r w:rsidDel="00000000" w:rsidR="00000000" w:rsidRPr="00000000">
        <w:rPr>
          <w:rtl w:val="0"/>
        </w:rPr>
      </w:r>
    </w:p>
    <w:p w:rsidR="00000000" w:rsidDel="00000000" w:rsidP="00000000" w:rsidRDefault="00000000" w:rsidRPr="00000000" w14:paraId="0000009C">
      <w:pPr>
        <w:pStyle w:val="Heading2"/>
        <w:keepLines w:val="1"/>
        <w:spacing w:after="200" w:before="240" w:lineRule="auto"/>
        <w:ind w:left="0" w:firstLine="0"/>
        <w:rPr>
          <w:smallCaps w:val="0"/>
          <w:color w:val="000000"/>
        </w:rPr>
      </w:pPr>
      <w:bookmarkStart w:colFirst="0" w:colLast="0" w:name="_heading=h.u2uwtz1ozp7g" w:id="15"/>
      <w:bookmarkEnd w:id="15"/>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3"/>
        <w:keepLines w:val="1"/>
        <w:spacing w:before="360" w:line="276" w:lineRule="auto"/>
        <w:ind w:left="0" w:firstLine="0"/>
        <w:jc w:val="left"/>
        <w:rPr/>
      </w:pPr>
      <w:bookmarkStart w:colFirst="0" w:colLast="0" w:name="_heading=h.kzp45073rdmn" w:id="16"/>
      <w:bookmarkEnd w:id="16"/>
      <w:r w:rsidDel="00000000" w:rsidR="00000000" w:rsidRPr="00000000">
        <w:rPr>
          <w:rtl w:val="0"/>
        </w:rPr>
        <w:t xml:space="preserve">2.1.2 Riesgo geopolítico y su impacto en mercados</w:t>
      </w:r>
    </w:p>
    <w:p w:rsidR="00000000" w:rsidDel="00000000" w:rsidP="00000000" w:rsidRDefault="00000000" w:rsidRPr="00000000" w14:paraId="0000009E">
      <w:pPr>
        <w:spacing w:after="200" w:before="240" w:lineRule="auto"/>
        <w:rPr/>
      </w:pPr>
      <w:r w:rsidDel="00000000" w:rsidR="00000000" w:rsidRPr="00000000">
        <w:rPr>
          <w:rtl w:val="0"/>
        </w:rPr>
        <w:t xml:space="preserve">Caldara e Iacoviello (2022) definen el riesgo geopolítico como la amenaza, realización y escalada de eventos adversos asociados a guerras, terrorismo y tensiones entre estados y actores políticos que afectan el curso pacífico de las relaciones internacionales.</w:t>
      </w:r>
    </w:p>
    <w:p w:rsidR="00000000" w:rsidDel="00000000" w:rsidP="00000000" w:rsidRDefault="00000000" w:rsidRPr="00000000" w14:paraId="0000009F">
      <w:pPr>
        <w:spacing w:after="200" w:before="240" w:lineRule="auto"/>
        <w:rPr/>
      </w:pPr>
      <w:r w:rsidDel="00000000" w:rsidR="00000000" w:rsidRPr="00000000">
        <w:rPr>
          <w:rtl w:val="0"/>
        </w:rPr>
        <w:t xml:space="preserve">Es importante entender que esta definición contempla el riesgo geopolítico con tres fases: Amenaza, realización y escalada.</w:t>
        <w:br w:type="textWrapping"/>
        <w:t xml:space="preserve">La fase de amenaza se entiende como la fase inicial de todo conflicto, cuando existe un posible riesgo sobre el país o entidad observada. Seguidamente encontramos la fase de realización, que se produce cuando el evento ocurre y finalmente la fase de escalada, que se produce al intensificar o extender dicho conflicto o evento. </w:t>
      </w:r>
    </w:p>
    <w:p w:rsidR="00000000" w:rsidDel="00000000" w:rsidP="00000000" w:rsidRDefault="00000000" w:rsidRPr="00000000" w14:paraId="000000A0">
      <w:pPr>
        <w:spacing w:after="200" w:before="240" w:lineRule="auto"/>
        <w:rPr/>
      </w:pPr>
      <w:r w:rsidDel="00000000" w:rsidR="00000000" w:rsidRPr="00000000">
        <w:rPr>
          <w:rtl w:val="0"/>
        </w:rPr>
        <w:t xml:space="preserve">Para entenderlo más fácilmente, un país podría movilizar tropas en su frontera (amenaza), posteriormente protagonizar un altercado como un ataque o invasión (realización) y finalmente causar desde una guerra abierta hasta una clausura total de la frontera (escalada).</w:t>
      </w:r>
    </w:p>
    <w:p w:rsidR="00000000" w:rsidDel="00000000" w:rsidP="00000000" w:rsidRDefault="00000000" w:rsidRPr="00000000" w14:paraId="000000A1">
      <w:pPr>
        <w:spacing w:after="200" w:before="240" w:lineRule="auto"/>
        <w:rPr/>
      </w:pPr>
      <w:r w:rsidDel="00000000" w:rsidR="00000000" w:rsidRPr="00000000">
        <w:rPr>
          <w:rtl w:val="0"/>
        </w:rPr>
        <w:t xml:space="preserve">Cada fase de este evento puede tener ciertas respuestas  específicas en el mercado según el tipo de conflicto, pues la situación que enfrentan es parecida en esencia y solo cambian los implicados. El hecho de que estas fases sean identificables y generen respuestas diferenciadas y específicas sugiere que un modelo capaz de generalizar correctamente, detectar y clasificar estas fases podría anticipar dichas respuestas </w:t>
      </w:r>
    </w:p>
    <w:p w:rsidR="00000000" w:rsidDel="00000000" w:rsidP="00000000" w:rsidRDefault="00000000" w:rsidRPr="00000000" w14:paraId="000000A2">
      <w:pPr>
        <w:spacing w:after="200" w:before="240" w:lineRule="auto"/>
        <w:rPr/>
      </w:pPr>
      <w:r w:rsidDel="00000000" w:rsidR="00000000" w:rsidRPr="00000000">
        <w:rPr>
          <w:rtl w:val="0"/>
        </w:rPr>
        <w:t xml:space="preserve">El índice GPR (Geopolitical Risk), también de Caldara e Iacoviello, mide la tensión geopolítica y se monitorea desde 1985. GPR utiliza 10 periódicos de referencia internacional, contando el número de artículos de esos periódicos que mencionan eventos geopolíticos en base a ciertas palabras para conseguir un proceso objetivo y automatizable. Aún siendo algo sencillo, los picos de este índice coinciden con eventos geopolíticos conocidos desde la guerra del golfo hasta la guerra de Rusia y Ucrania.</w:t>
      </w:r>
    </w:p>
    <w:p w:rsidR="00000000" w:rsidDel="00000000" w:rsidP="00000000" w:rsidRDefault="00000000" w:rsidRPr="00000000" w14:paraId="000000A3">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00" w:before="240" w:lineRule="auto"/>
        <w:rPr/>
      </w:pPr>
      <w:r w:rsidDel="00000000" w:rsidR="00000000" w:rsidRPr="00000000">
        <w:rPr>
          <w:rtl w:val="0"/>
        </w:rPr>
        <w:t xml:space="preserve">Entendemos qué son los sucesos geopolíticos, cómo se miden y que afectan directamente a los mercados, pero ¿cómo lo hacen?, ¿Cómo se transmite al mercado? De nuevo, Caldara e Iacoviello (2022), explican la existencia de ciertos canales principales en los que el sentimiento de una situación geopolítica se traduce a los números: La incertidumbre, los precios de la energía y materias primas , el comercio internacional, los flujos de capital y el sentimiento inversor entre otros.</w:t>
      </w:r>
    </w:p>
    <w:p w:rsidR="00000000" w:rsidDel="00000000" w:rsidP="00000000" w:rsidRDefault="00000000" w:rsidRPr="00000000" w14:paraId="000000A5">
      <w:pPr>
        <w:spacing w:after="200" w:before="240" w:lineRule="auto"/>
        <w:rPr/>
      </w:pPr>
      <w:r w:rsidDel="00000000" w:rsidR="00000000" w:rsidRPr="00000000">
        <w:rPr>
          <w:rtl w:val="0"/>
        </w:rPr>
        <w:t xml:space="preserve">Según Frank H. Knight (1921), la incertidumbre es aquella situación en la que es imposible determinar la probabilidad de que ocurra un evento, a diferencia del riesgo, donde las probabilidades sí son medibles. Es uno de los canales más directos, y ante ella los inversores tienden a retirar dinero de activos arriesgados y moverlo a activos refugio clásicos como el oro o los bonos gubernamentales.</w:t>
      </w:r>
    </w:p>
    <w:p w:rsidR="00000000" w:rsidDel="00000000" w:rsidP="00000000" w:rsidRDefault="00000000" w:rsidRPr="00000000" w14:paraId="000000A6">
      <w:pPr>
        <w:spacing w:after="200" w:before="240" w:lineRule="auto"/>
        <w:rPr/>
      </w:pPr>
      <w:r w:rsidDel="00000000" w:rsidR="00000000" w:rsidRPr="00000000">
        <w:rPr>
          <w:rtl w:val="0"/>
        </w:rPr>
        <w:t xml:space="preserve">Por otro lado, muchos conflictos geopolíticos se dan en zonas o por razones relacionadas con la energía y demás combustibles, materia prima indispensable para el funcionamiento general de un país. Guerras, sanciones, aranceles o cambios significativos en el precio pueden tener un fuerte impacto en el mercado.</w:t>
      </w:r>
    </w:p>
    <w:p w:rsidR="00000000" w:rsidDel="00000000" w:rsidP="00000000" w:rsidRDefault="00000000" w:rsidRPr="00000000" w14:paraId="000000A7">
      <w:pPr>
        <w:spacing w:after="200" w:before="240" w:lineRule="auto"/>
        <w:rPr/>
      </w:pPr>
      <w:r w:rsidDel="00000000" w:rsidR="00000000" w:rsidRPr="00000000">
        <w:rPr>
          <w:rtl w:val="0"/>
        </w:rPr>
        <w:t xml:space="preserve">Estas sanciones o aranceles pueden deberse al comercio internacional, otro de los canales más directos ya que pueden reducir el volumen de negocio de las empresas afectadas, impactando en sus ingresos y por tanto en su valoración.</w:t>
      </w:r>
    </w:p>
    <w:p w:rsidR="00000000" w:rsidDel="00000000" w:rsidP="00000000" w:rsidRDefault="00000000" w:rsidRPr="00000000" w14:paraId="000000A8">
      <w:pPr>
        <w:spacing w:after="200" w:before="240" w:lineRule="auto"/>
        <w:rPr/>
      </w:pPr>
      <w:r w:rsidDel="00000000" w:rsidR="00000000" w:rsidRPr="00000000">
        <w:rPr>
          <w:rtl w:val="0"/>
        </w:rPr>
        <w:t xml:space="preserve">Cuando un país o región se percibe como geopolíticamente inestable, el capital invertido en esa zona tiende a desplazarse hacia mercados considerados más seguros, ya que los flujos de capital buscan siempre localizaciones seguras para asegurar el patrimonio invertido y por ello es un canal más en el que se traduce un suceso geopolítico.</w:t>
      </w:r>
    </w:p>
    <w:p w:rsidR="00000000" w:rsidDel="00000000" w:rsidP="00000000" w:rsidRDefault="00000000" w:rsidRPr="00000000" w14:paraId="000000A9">
      <w:pPr>
        <w:spacing w:after="200" w:before="240" w:lineRule="auto"/>
        <w:rPr/>
      </w:pPr>
      <w:r w:rsidDel="00000000" w:rsidR="00000000" w:rsidRPr="00000000">
        <w:rPr>
          <w:rtl w:val="0"/>
        </w:rPr>
        <w:t xml:space="preserve">Por último, y relacionado con todos los demás canales, tenemos el sentimiento del inversor, la percepción de un mercado por parte de los inversores, ya sea real o no, impacta directamente en la dirección y el volumen de las operaciones del mercado.</w:t>
      </w:r>
    </w:p>
    <w:p w:rsidR="00000000" w:rsidDel="00000000" w:rsidP="00000000" w:rsidRDefault="00000000" w:rsidRPr="00000000" w14:paraId="000000AA">
      <w:pPr>
        <w:pStyle w:val="Heading3"/>
        <w:keepLines w:val="1"/>
        <w:spacing w:before="360" w:line="276" w:lineRule="auto"/>
        <w:ind w:left="0" w:firstLine="0"/>
        <w:jc w:val="left"/>
        <w:rPr/>
      </w:pPr>
      <w:bookmarkStart w:colFirst="0" w:colLast="0" w:name="_heading=h.r4wkyax8s7dw" w:id="17"/>
      <w:bookmarkEnd w:id="17"/>
      <w:r w:rsidDel="00000000" w:rsidR="00000000" w:rsidRPr="00000000">
        <w:rPr>
          <w:rtl w:val="0"/>
        </w:rPr>
        <w:t xml:space="preserve">2.1.3 Bases de datos de eventos geopolíticos</w:t>
      </w:r>
    </w:p>
    <w:p w:rsidR="00000000" w:rsidDel="00000000" w:rsidP="00000000" w:rsidRDefault="00000000" w:rsidRPr="00000000" w14:paraId="000000AB">
      <w:pPr>
        <w:spacing w:after="200" w:before="240" w:lineRule="auto"/>
        <w:rPr/>
      </w:pPr>
      <w:r w:rsidDel="00000000" w:rsidR="00000000" w:rsidRPr="00000000">
        <w:rPr>
          <w:rtl w:val="0"/>
        </w:rPr>
        <w:t xml:space="preserve">Una base de datos de eventos codificados representa, clasifica y almacena los sucesos que ocurren en un tiempo o lugar determinados a partir de información no estructurada. </w:t>
      </w:r>
    </w:p>
    <w:p w:rsidR="00000000" w:rsidDel="00000000" w:rsidP="00000000" w:rsidRDefault="00000000" w:rsidRPr="00000000" w14:paraId="000000AC">
      <w:pPr>
        <w:spacing w:after="200" w:before="240" w:lineRule="auto"/>
        <w:rPr/>
      </w:pPr>
      <w:r w:rsidDel="00000000" w:rsidR="00000000" w:rsidRPr="00000000">
        <w:rPr>
          <w:rtl w:val="0"/>
        </w:rPr>
        <w:t xml:space="preserve">GDELT (Global Database of Events, Language, and Tone) es una base de datos abierta y gratuita creada por Kalev Leetaru y Philip Schrodt que monitoriza medios de comunicación de todo el mundo en más de 100 idiomas y extrae de forma automatizada los eventos que se mencionan. Tiene datos desde 1979, lleva funcionando desde 2013 y actualmente se actualiza cada 15 minutos.</w:t>
      </w:r>
    </w:p>
    <w:p w:rsidR="00000000" w:rsidDel="00000000" w:rsidP="00000000" w:rsidRDefault="00000000" w:rsidRPr="00000000" w14:paraId="000000AD">
      <w:pPr>
        <w:spacing w:after="200" w:before="240" w:lineRule="auto"/>
        <w:rPr/>
      </w:pPr>
      <w:r w:rsidDel="00000000" w:rsidR="00000000" w:rsidRPr="00000000">
        <w:rPr>
          <w:rtl w:val="0"/>
        </w:rPr>
        <w:t xml:space="preserve">GDELT tiene dos partes principales: la</w:t>
      </w:r>
      <w:r w:rsidDel="00000000" w:rsidR="00000000" w:rsidRPr="00000000">
        <w:rPr>
          <w:i w:val="1"/>
          <w:iCs w:val="1"/>
          <w:rtl w:val="0"/>
        </w:rPr>
        <w:t xml:space="preserve"> Event Database</w:t>
      </w:r>
      <w:r w:rsidDel="00000000" w:rsidR="00000000" w:rsidRPr="00000000">
        <w:rPr>
          <w:rtl w:val="0"/>
        </w:rPr>
        <w:t xml:space="preserve"> y el</w:t>
      </w:r>
      <w:r w:rsidDel="00000000" w:rsidR="00000000" w:rsidRPr="00000000">
        <w:rPr>
          <w:i w:val="1"/>
          <w:iCs w:val="1"/>
          <w:rtl w:val="0"/>
        </w:rPr>
        <w:t xml:space="preserve"> Global Knowledge Graph</w:t>
      </w:r>
      <w:r w:rsidDel="00000000" w:rsidR="00000000" w:rsidRPr="00000000">
        <w:rPr>
          <w:rtl w:val="0"/>
        </w:rPr>
        <w:t xml:space="preserve"> (GKG):</w:t>
        <w:br w:type="textWrapping"/>
        <w:t xml:space="preserve">La Event Database registra eventos individuales. Cada evento tiene 58 campos que incluyen actores implicados, lugar, tiempo y tono mediático. El sistema de codificación usado es CAMEO (Gerner et al., 2002), que es un framework de codificación creado en la Universidad de Kansas que asigna un código numérico a cada tipo de interacción entre actores.</w:t>
        <w:br w:type="textWrapping"/>
        <w:t xml:space="preserve">Algunas variables de las más relevantes son:</w:t>
      </w:r>
    </w:p>
    <w:p w:rsidR="00000000" w:rsidDel="00000000" w:rsidP="00000000" w:rsidRDefault="00000000" w:rsidRPr="00000000" w14:paraId="000000AE">
      <w:pPr>
        <w:numPr>
          <w:ilvl w:val="0"/>
          <w:numId w:val="6"/>
        </w:numPr>
        <w:spacing w:after="200" w:before="240" w:lineRule="auto"/>
        <w:ind w:left="720" w:hanging="360"/>
        <w:rPr/>
      </w:pPr>
      <w:r w:rsidDel="00000000" w:rsidR="00000000" w:rsidRPr="00000000">
        <w:rPr>
          <w:rtl w:val="0"/>
        </w:rPr>
        <w:t xml:space="preserve">GoldsteinScale: Valor numérico de -10 a +10 que mide el impacto teórico de cada tipo de evento en la estabilidad de un país. </w:t>
      </w:r>
    </w:p>
    <w:p w:rsidR="00000000" w:rsidDel="00000000" w:rsidP="00000000" w:rsidRDefault="00000000" w:rsidRPr="00000000" w14:paraId="000000AF">
      <w:pPr>
        <w:numPr>
          <w:ilvl w:val="0"/>
          <w:numId w:val="6"/>
        </w:numPr>
        <w:spacing w:after="200" w:before="0" w:lineRule="auto"/>
        <w:ind w:left="720" w:hanging="360"/>
        <w:rPr/>
      </w:pPr>
      <w:r w:rsidDel="00000000" w:rsidR="00000000" w:rsidRPr="00000000">
        <w:rPr>
          <w:rtl w:val="0"/>
        </w:rPr>
        <w:t xml:space="preserve">AvgTone: Tono medio del artículo que reporta el evento. Negativo significa cobertura hostil, positivo significa cobertura favorable.</w:t>
      </w:r>
    </w:p>
    <w:p w:rsidR="00000000" w:rsidDel="00000000" w:rsidP="00000000" w:rsidRDefault="00000000" w:rsidRPr="00000000" w14:paraId="000000B0">
      <w:pPr>
        <w:numPr>
          <w:ilvl w:val="0"/>
          <w:numId w:val="6"/>
        </w:numPr>
        <w:spacing w:after="200" w:before="0" w:lineRule="auto"/>
        <w:ind w:left="720" w:hanging="360"/>
        <w:rPr/>
      </w:pPr>
      <w:r w:rsidDel="00000000" w:rsidR="00000000" w:rsidRPr="00000000">
        <w:rPr>
          <w:rtl w:val="0"/>
        </w:rPr>
        <w:t xml:space="preserve">NumMentions / NumSources: Cantidad de veces y de fuentes en que se ha mencionado el evento.</w:t>
      </w:r>
    </w:p>
    <w:p w:rsidR="00000000" w:rsidDel="00000000" w:rsidP="00000000" w:rsidRDefault="00000000" w:rsidRPr="00000000" w14:paraId="000000B1">
      <w:pPr>
        <w:numPr>
          <w:ilvl w:val="0"/>
          <w:numId w:val="6"/>
        </w:numPr>
        <w:spacing w:after="200" w:before="240" w:lineRule="auto"/>
        <w:ind w:left="720" w:hanging="360"/>
        <w:rPr/>
      </w:pPr>
      <w:r w:rsidDel="00000000" w:rsidR="00000000" w:rsidRPr="00000000">
        <w:rPr>
          <w:rtl w:val="0"/>
        </w:rPr>
        <w:t xml:space="preserve">Actor1 / Actor2: Actores involucrados, codificados por país, tipo y otros atributos.</w:t>
      </w:r>
    </w:p>
    <w:p w:rsidR="00000000" w:rsidDel="00000000" w:rsidP="00000000" w:rsidRDefault="00000000" w:rsidRPr="00000000" w14:paraId="000000B2">
      <w:pPr>
        <w:spacing w:after="200" w:before="240" w:lineRule="auto"/>
        <w:rPr/>
      </w:pPr>
      <w:r w:rsidDel="00000000" w:rsidR="00000000" w:rsidRPr="00000000">
        <w:rPr>
          <w:rtl w:val="0"/>
        </w:rPr>
        <w:t xml:space="preserve">Por otro lado tenemos el GKG, que va más allá de los eventos y extrae todas las personas, organizaciones, ubicaciones, temas y emociones mencionadas y los representa en forma de base de datos relacional.</w:t>
      </w:r>
    </w:p>
    <w:p w:rsidR="00000000" w:rsidDel="00000000" w:rsidP="00000000" w:rsidRDefault="00000000" w:rsidRPr="00000000" w14:paraId="000000B3">
      <w:pPr>
        <w:spacing w:after="200" w:before="240" w:lineRule="auto"/>
        <w:rPr/>
      </w:pPr>
      <w:r w:rsidDel="00000000" w:rsidR="00000000" w:rsidRPr="00000000">
        <w:rPr>
          <w:rtl w:val="0"/>
        </w:rPr>
        <w:t xml:space="preserve">GDELT es una herramienta muy valiosa con muchas ventajas, pero también tiene limitaciones que debemos conocer, entre ellas, la precisión limitada, la redundancia y el crecimiento exponencial de fuentes.</w:t>
      </w:r>
    </w:p>
    <w:p w:rsidR="00000000" w:rsidDel="00000000" w:rsidP="00000000" w:rsidRDefault="00000000" w:rsidRPr="00000000" w14:paraId="000000B4">
      <w:pPr>
        <w:spacing w:after="200" w:before="240" w:lineRule="auto"/>
        <w:rPr/>
      </w:pPr>
      <w:r w:rsidDel="00000000" w:rsidR="00000000" w:rsidRPr="00000000">
        <w:rPr>
          <w:rtl w:val="0"/>
        </w:rPr>
        <w:t xml:space="preserve">La precisión limitada se refiere a que al ser un proceso automatizado, existen errores en actores, categorización u otros tipos. En consonancia con la precisión limitada, también existe una cierta redundancia en los eventos que ocurren ya que cuanto más importante sea, más medios hablan de él. Y finalmente, el crecimiento exponencial de fuentes se debe a la inclusión de webs y otras fuentes contemporáneas, lo que crea una situación en la que en la actualidad se registran más eventos que en el pasado al haber más fuentes disponibles.</w:t>
      </w:r>
    </w:p>
    <w:p w:rsidR="00000000" w:rsidDel="00000000" w:rsidP="00000000" w:rsidRDefault="00000000" w:rsidRPr="00000000" w14:paraId="000000B5">
      <w:pPr>
        <w:spacing w:after="200" w:before="240" w:lineRule="auto"/>
        <w:rPr/>
      </w:pPr>
      <w:r w:rsidDel="00000000" w:rsidR="00000000" w:rsidRPr="00000000">
        <w:rPr>
          <w:rtl w:val="0"/>
        </w:rPr>
        <w:t xml:space="preserve">Existen otras plataformas alternativas a GDELT como ICEWS o ACLED, pero no cumplen todas estas características, especialmente las de acceso o cobertura. La elección de esta herramienta se debe al conjunto de características que solo GDELT cumple:</w:t>
      </w:r>
    </w:p>
    <w:p w:rsidR="00000000" w:rsidDel="00000000" w:rsidP="00000000" w:rsidRDefault="00000000" w:rsidRPr="00000000" w14:paraId="000000B6">
      <w:pPr>
        <w:numPr>
          <w:ilvl w:val="0"/>
          <w:numId w:val="4"/>
        </w:numPr>
        <w:spacing w:after="200" w:before="240" w:lineRule="auto"/>
        <w:ind w:left="720" w:hanging="360"/>
        <w:rPr/>
      </w:pPr>
      <w:r w:rsidDel="00000000" w:rsidR="00000000" w:rsidRPr="00000000">
        <w:rPr>
          <w:rtl w:val="0"/>
        </w:rPr>
        <w:t xml:space="preserve">Acceso libre y gratuito</w:t>
      </w:r>
    </w:p>
    <w:p w:rsidR="00000000" w:rsidDel="00000000" w:rsidP="00000000" w:rsidRDefault="00000000" w:rsidRPr="00000000" w14:paraId="000000B7">
      <w:pPr>
        <w:numPr>
          <w:ilvl w:val="0"/>
          <w:numId w:val="4"/>
        </w:numPr>
        <w:spacing w:after="200" w:before="0" w:lineRule="auto"/>
        <w:ind w:left="720" w:hanging="360"/>
        <w:rPr/>
      </w:pPr>
      <w:r w:rsidDel="00000000" w:rsidR="00000000" w:rsidRPr="00000000">
        <w:rPr>
          <w:rtl w:val="0"/>
        </w:rPr>
        <w:t xml:space="preserve">Cobertura global en más de 100 idiomas</w:t>
      </w:r>
    </w:p>
    <w:p w:rsidR="00000000" w:rsidDel="00000000" w:rsidP="00000000" w:rsidRDefault="00000000" w:rsidRPr="00000000" w14:paraId="000000B8">
      <w:pPr>
        <w:numPr>
          <w:ilvl w:val="0"/>
          <w:numId w:val="4"/>
        </w:numPr>
        <w:spacing w:after="200" w:before="0" w:lineRule="auto"/>
        <w:ind w:left="720" w:hanging="360"/>
        <w:rPr/>
      </w:pPr>
      <w:r w:rsidDel="00000000" w:rsidR="00000000" w:rsidRPr="00000000">
        <w:rPr>
          <w:rtl w:val="0"/>
        </w:rPr>
        <w:t xml:space="preserve">Cubre todo el espectro de interacciones (cooperación y conflicto, no solo violencia)</w:t>
      </w:r>
    </w:p>
    <w:p w:rsidR="00000000" w:rsidDel="00000000" w:rsidP="00000000" w:rsidRDefault="00000000" w:rsidRPr="00000000" w14:paraId="000000B9">
      <w:pPr>
        <w:numPr>
          <w:ilvl w:val="0"/>
          <w:numId w:val="4"/>
        </w:numPr>
        <w:spacing w:after="200" w:before="0" w:lineRule="auto"/>
        <w:ind w:left="720" w:hanging="360"/>
        <w:rPr/>
      </w:pPr>
      <w:r w:rsidDel="00000000" w:rsidR="00000000" w:rsidRPr="00000000">
        <w:rPr>
          <w:rtl w:val="0"/>
        </w:rPr>
        <w:t xml:space="preserve">Se actualiza cada 15 minutos</w:t>
      </w:r>
    </w:p>
    <w:p w:rsidR="00000000" w:rsidDel="00000000" w:rsidP="00000000" w:rsidRDefault="00000000" w:rsidRPr="00000000" w14:paraId="000000BA">
      <w:pPr>
        <w:numPr>
          <w:ilvl w:val="0"/>
          <w:numId w:val="4"/>
        </w:numPr>
        <w:spacing w:after="200" w:before="0" w:lineRule="auto"/>
        <w:ind w:left="720" w:hanging="360"/>
        <w:rPr/>
      </w:pPr>
      <w:r w:rsidDel="00000000" w:rsidR="00000000" w:rsidRPr="00000000">
        <w:rPr>
          <w:rtl w:val="0"/>
        </w:rPr>
        <w:t xml:space="preserve">Datos desde 1979, és la cobertura temporal más amplia</w:t>
      </w:r>
    </w:p>
    <w:p w:rsidR="00000000" w:rsidDel="00000000" w:rsidP="00000000" w:rsidRDefault="00000000" w:rsidRPr="00000000" w14:paraId="000000BB">
      <w:pPr>
        <w:numPr>
          <w:ilvl w:val="0"/>
          <w:numId w:val="4"/>
        </w:numPr>
        <w:spacing w:after="200" w:before="240" w:lineRule="auto"/>
        <w:ind w:left="720" w:hanging="360"/>
        <w:rPr/>
      </w:pPr>
      <w:r w:rsidDel="00000000" w:rsidR="00000000" w:rsidRPr="00000000">
        <w:rPr>
          <w:rtl w:val="0"/>
        </w:rPr>
        <w:t xml:space="preserve">Sus limitaciones (precisión, redundancia) son abordables con preprocesamiento</w:t>
      </w:r>
    </w:p>
    <w:p w:rsidR="00000000" w:rsidDel="00000000" w:rsidP="00000000" w:rsidRDefault="00000000" w:rsidRPr="00000000" w14:paraId="000000BC">
      <w:pPr>
        <w:spacing w:after="200" w:before="240" w:lineRule="auto"/>
        <w:rPr/>
      </w:pPr>
      <w:r w:rsidDel="00000000" w:rsidR="00000000" w:rsidRPr="00000000">
        <w:rPr>
          <w:rtl w:val="0"/>
        </w:rPr>
        <w:t xml:space="preserve">Los eventos reflejados en GDELT describen interacciones entre actores, que forman de manera natural una red de relaciones. Esta red puede representarse como un grafo, una estructura matemática diseñada para modelar datos relacionales. Para procesar este tipo de estructuras existen las Redes Neuronales de Grafos (GNN, Graph Neural Networks), que constituyen el pilar técnico de este trabajo.</w:t>
      </w:r>
    </w:p>
    <w:p w:rsidR="00000000" w:rsidDel="00000000" w:rsidP="00000000" w:rsidRDefault="00000000" w:rsidRPr="00000000" w14:paraId="000000BD">
      <w:pPr>
        <w:spacing w:after="200" w:before="240" w:lineRule="auto"/>
        <w:rPr/>
      </w:pPr>
      <w:r w:rsidDel="00000000" w:rsidR="00000000" w:rsidRPr="00000000">
        <w:rPr>
          <w:rtl w:val="0"/>
        </w:rPr>
      </w:r>
    </w:p>
    <w:p w:rsidR="00000000" w:rsidDel="00000000" w:rsidP="00000000" w:rsidRDefault="00000000" w:rsidRPr="00000000" w14:paraId="000000BE">
      <w:pPr>
        <w:pStyle w:val="Heading3"/>
        <w:keepLines w:val="1"/>
        <w:spacing w:before="360" w:line="276" w:lineRule="auto"/>
        <w:ind w:left="0" w:firstLine="0"/>
        <w:jc w:val="left"/>
        <w:rPr/>
      </w:pPr>
      <w:bookmarkStart w:colFirst="0" w:colLast="0" w:name="_heading=h.iwg8s6azrbg6" w:id="18"/>
      <w:bookmarkEnd w:id="18"/>
      <w:r w:rsidDel="00000000" w:rsidR="00000000" w:rsidRPr="00000000">
        <w:rPr>
          <w:rtl w:val="0"/>
        </w:rPr>
        <w:t xml:space="preserve">2.1.4 Redes neuronales de grafos</w:t>
      </w:r>
    </w:p>
    <w:p w:rsidR="00000000" w:rsidDel="00000000" w:rsidP="00000000" w:rsidRDefault="00000000" w:rsidRPr="00000000" w14:paraId="000000BF">
      <w:pPr>
        <w:spacing w:after="200" w:before="240" w:lineRule="auto"/>
        <w:rPr/>
      </w:pPr>
      <w:r w:rsidDel="00000000" w:rsidR="00000000" w:rsidRPr="00000000">
        <w:rPr>
          <w:rtl w:val="0"/>
        </w:rPr>
        <w:t xml:space="preserve">Un grafo se define formalmente como G = (V, E), donde V es un conjunto de vértices o nodos que representan entidades y E es un conjunto de aristas que representan relaciones entre pares de nodos (Wilson, 1996). Este concepto tiene su origen en el trabajo de Euler (1736) sobre el problema de los puentes de Königsberg, considerado el primer teorema de la teoría de grafos.</w:t>
      </w:r>
    </w:p>
    <w:p w:rsidR="00000000" w:rsidDel="00000000" w:rsidP="00000000" w:rsidRDefault="00000000" w:rsidRPr="00000000" w14:paraId="000000C0">
      <w:pPr>
        <w:spacing w:after="200" w:before="240" w:lineRule="auto"/>
        <w:rPr/>
      </w:pPr>
      <w:r w:rsidDel="00000000" w:rsidR="00000000" w:rsidRPr="00000000">
        <w:rPr>
          <w:rtl w:val="0"/>
        </w:rPr>
        <w:t xml:space="preserve">Los grafos pueden presentar distintas propiedades según cómo se definan sus aristas. En un grafo dirigido, las aristas tienen una dirección concreta: la relación de A hacia B no implica la misma relación de B hacia A. En un grafo no dirigido, la relación es simétrica entre ambos nodos. Los grafos también pueden ser ponderados, donde cada arista lleva asociado un peso numérico que indica la intensidad o magnitud de la relación, o no ponderados, donde simplemente se registra la existencia o ausencia de conexión. Además, tanto los nodos como las aristas pueden incorporar atributos adicionales que enriquecen la información contenida en la estructura, como valores numéricos, categorías o cualquier otra característica relevante para el problema a modelar.</w:t>
      </w:r>
    </w:p>
    <w:p w:rsidR="00000000" w:rsidDel="00000000" w:rsidP="00000000" w:rsidRDefault="00000000" w:rsidRPr="00000000" w14:paraId="000000C1">
      <w:pPr>
        <w:spacing w:after="200" w:before="240" w:lineRule="auto"/>
        <w:rPr/>
      </w:pPr>
      <w:r w:rsidDel="00000000" w:rsidR="00000000" w:rsidRPr="00000000">
        <w:rPr>
          <w:rtl w:val="0"/>
        </w:rPr>
        <w:t xml:space="preserve">Las redes neuronales clásicas están diseñadas para datos con estructura regular: una imagen es una cuadrícula de píxeles, un texto es una secuencia de palabras, una serie temporal es una secuencia de valores. Pero un grafo no tiene estructura regular, cada nodo puede tener un número diferente de vecinos, no hay orden fijo ni cuadrícula. Las GNN surgen para resolver este problema.</w:t>
      </w:r>
    </w:p>
    <w:p w:rsidR="00000000" w:rsidDel="00000000" w:rsidP="00000000" w:rsidRDefault="00000000" w:rsidRPr="00000000" w14:paraId="000000C2">
      <w:pPr>
        <w:spacing w:after="200" w:before="240" w:lineRule="auto"/>
        <w:rPr/>
      </w:pPr>
      <w:r w:rsidDel="00000000" w:rsidR="00000000" w:rsidRPr="00000000">
        <w:rPr>
          <w:rtl w:val="0"/>
        </w:rPr>
        <w:t xml:space="preserve">El mecanismo fundamental de las GNN es el </w:t>
      </w:r>
      <w:r w:rsidDel="00000000" w:rsidR="00000000" w:rsidRPr="00000000">
        <w:rPr>
          <w:i w:val="1"/>
          <w:iCs w:val="1"/>
          <w:rtl w:val="0"/>
        </w:rPr>
        <w:t xml:space="preserve">message passing</w:t>
      </w:r>
      <w:r w:rsidDel="00000000" w:rsidR="00000000" w:rsidRPr="00000000">
        <w:rPr>
          <w:rtl w:val="0"/>
        </w:rPr>
        <w:t xml:space="preserve"> o paso de mensajes. Cada nodo del grafo parte con una representación numérica propia basada en sus atributos. En cada iteración, cada nodo recoge la información de los nodos con los que está conectado, la agrega y actualiza su propia representación combinando lo que tenía con lo que ha recibido. Este proceso se repite en capas sucesivas: con una capa cada nodo conoce a sus vecinos directos, con dos capas conoce a los vecinos de sus vecinos, propagando así la información a lo largo de toda la estructura del grafo. Al final del proceso, la representación de cada nodo incorpora no solo sus propios atributos sino también la información de su entorno relacional, y a partir de estas representaciones individuales se puede generar una representación global del grafo que capture el estado general del sistema modelado.</w:t>
      </w:r>
    </w:p>
    <w:p w:rsidR="00000000" w:rsidDel="00000000" w:rsidP="00000000" w:rsidRDefault="00000000" w:rsidRPr="00000000" w14:paraId="000000C3">
      <w:pPr>
        <w:pStyle w:val="Heading3"/>
        <w:keepLines w:val="1"/>
        <w:spacing w:after="200" w:before="240" w:lineRule="auto"/>
        <w:ind w:left="0" w:firstLine="0"/>
        <w:rPr/>
      </w:pPr>
      <w:bookmarkStart w:colFirst="0" w:colLast="0" w:name="_heading=h.uufkioijx1x" w:id="19"/>
      <w:bookmarkEnd w:id="19"/>
      <w:r w:rsidDel="00000000" w:rsidR="00000000" w:rsidRPr="00000000">
        <w:rPr>
          <w:rtl w:val="0"/>
        </w:rPr>
        <w:t xml:space="preserve">2.1.5 Síntesis</w:t>
      </w:r>
    </w:p>
    <w:p w:rsidR="00000000" w:rsidDel="00000000" w:rsidP="00000000" w:rsidRDefault="00000000" w:rsidRPr="00000000" w14:paraId="000000C4">
      <w:pPr>
        <w:spacing w:after="200" w:before="240" w:lineRule="auto"/>
        <w:rPr/>
      </w:pPr>
      <w:r w:rsidDel="00000000" w:rsidR="00000000" w:rsidRPr="00000000">
        <w:rPr>
          <w:rtl w:val="0"/>
        </w:rPr>
        <w:t xml:space="preserve">A lo largo del desarrollo del marco teórico se han presentado los fundamentos sobre los que se sustenta este trabajo. Los mercados financieros forman sistemas complejos cuya predicción se ha abordado mediante técnicas cada vez más sofisticadas, desde los modelos estadísticos clásicos hasta las arquitecturas de deep learning actuales. Entre los múltiples factores externos que influyen en el comportamiento de estos mercados, el riesgo geopolítico se ha demostrado como uno de los más relevantes, con canales de transmisión documentados que van desde la incertidumbre hasta los flujos de capital. La existencia de bases de datos como GDELT, capaces de registrar de forma estructurada y masiva los eventos geopolíticos a escala global, abre la posibilidad de integrar esta información en modelos predictivos. Y las redes neuronales de grafos, diseñadas específicamente para procesar datos relacionales, ofrecen el marco técnico adecuado para explotar la estructura natural de red que presentan las interacciones entre actores geopolíticos.</w:t>
      </w:r>
    </w:p>
    <w:p w:rsidR="00000000" w:rsidDel="00000000" w:rsidP="00000000" w:rsidRDefault="00000000" w:rsidRPr="00000000" w14:paraId="000000C5">
      <w:pPr>
        <w:spacing w:after="200" w:before="240" w:lineRule="auto"/>
        <w:rPr/>
      </w:pPr>
      <w:r w:rsidDel="00000000" w:rsidR="00000000" w:rsidRPr="00000000">
        <w:rPr>
          <w:rtl w:val="0"/>
        </w:rPr>
        <w:br w:type="textWrapping"/>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2"/>
        <w:numPr>
          <w:ilvl w:val="1"/>
          <w:numId w:val="7"/>
        </w:numPr>
        <w:ind w:left="716" w:hanging="432"/>
        <w:rPr>
          <w:smallCaps w:val="0"/>
        </w:rPr>
      </w:pPr>
      <w:bookmarkStart w:colFirst="0" w:colLast="0" w:name="_heading=h.fnh0qcuq53ae" w:id="20"/>
      <w:bookmarkEnd w:id="20"/>
      <w:r w:rsidDel="00000000" w:rsidR="00000000" w:rsidRPr="00000000">
        <w:rPr>
          <w:smallCaps w:val="0"/>
          <w:rtl w:val="0"/>
        </w:rPr>
        <w:t xml:space="preserve">Estado del arte</w:t>
      </w:r>
    </w:p>
    <w:p w:rsidR="00000000" w:rsidDel="00000000" w:rsidP="00000000" w:rsidRDefault="00000000" w:rsidRPr="00000000" w14:paraId="000000C8">
      <w:pPr>
        <w:spacing w:after="200" w:before="0" w:lineRule="auto"/>
        <w:rPr/>
      </w:pPr>
      <w:r w:rsidDel="00000000" w:rsidR="00000000" w:rsidRPr="00000000">
        <w:rPr>
          <w:rtl w:val="0"/>
        </w:rPr>
        <w:t xml:space="preserve">En este capítulo se hará el análisis de las principales líneas de investigaciones relacionadas con la predicción de mercados en base a eventos geopolíticos. En específico, se comprobará si ya ha sido aplicado ML para investigar si hay correlación entre eventos y la predicción de mercados, usando como fuente de datos GDELT u otros tipos de fuentes de información. Posteriormente, se comprobará si ya han aplicado GNN en el ámbito financiero. </w:t>
      </w:r>
    </w:p>
    <w:p w:rsidR="00000000" w:rsidDel="00000000" w:rsidP="00000000" w:rsidRDefault="00000000" w:rsidRPr="00000000" w14:paraId="000000C9">
      <w:pPr>
        <w:pStyle w:val="Heading3"/>
        <w:keepLines w:val="1"/>
        <w:spacing w:before="360" w:line="276" w:lineRule="auto"/>
        <w:ind w:left="0" w:firstLine="0"/>
        <w:jc w:val="left"/>
        <w:rPr/>
      </w:pPr>
      <w:bookmarkStart w:colFirst="0" w:colLast="0" w:name="_heading=h.dcqe4d2u1v1z" w:id="21"/>
      <w:bookmarkEnd w:id="21"/>
      <w:r w:rsidDel="00000000" w:rsidR="00000000" w:rsidRPr="00000000">
        <w:rPr>
          <w:rtl w:val="0"/>
        </w:rPr>
        <w:t xml:space="preserve">2.2.1 Machine learning aplicado al riesgo geopolítico</w:t>
      </w:r>
    </w:p>
    <w:p w:rsidR="00000000" w:rsidDel="00000000" w:rsidP="00000000" w:rsidRDefault="00000000" w:rsidRPr="00000000" w14:paraId="000000CA">
      <w:pPr>
        <w:spacing w:after="200" w:before="0" w:lineRule="auto"/>
        <w:rPr/>
      </w:pPr>
      <w:r w:rsidDel="00000000" w:rsidR="00000000" w:rsidRPr="00000000">
        <w:rPr>
          <w:i w:val="1"/>
          <w:iCs w:val="1"/>
          <w:rtl w:val="0"/>
        </w:rPr>
        <w:t xml:space="preserve">Niu, Wang &amp; Zhang (2023)</w:t>
      </w:r>
      <w:r w:rsidDel="00000000" w:rsidR="00000000" w:rsidRPr="00000000">
        <w:rPr>
          <w:rtl w:val="0"/>
        </w:rPr>
        <w:t xml:space="preserve">, descomponen el sistema de GPR, para no tratar este índice como un único número, sino que busca distinguir el tipo de evento  y las usan como variables de entrada en varios modelos de ML para predecir la volatilidad en el S&amp;P500. Para ello aplicaron SHAP, una técnica que permite ver qué variables pesan más a la hora de hacer predicciones. Esto sirve para explicar el motivo de la predicción y no únicamente su resultado. </w:t>
      </w:r>
    </w:p>
    <w:p w:rsidR="00000000" w:rsidDel="00000000" w:rsidP="00000000" w:rsidRDefault="00000000" w:rsidRPr="00000000" w14:paraId="000000CB">
      <w:pPr>
        <w:spacing w:after="200" w:before="0" w:lineRule="auto"/>
        <w:rPr/>
      </w:pPr>
      <w:r w:rsidDel="00000000" w:rsidR="00000000" w:rsidRPr="00000000">
        <w:rPr>
          <w:rtl w:val="0"/>
        </w:rPr>
        <w:t xml:space="preserve">Los resultados que se encontraron es que las movilizaciones militares y la guerra son las categorías que más afectan a la volatilidad y que la implementación de ML supera la predicción de los sistemas clásicos. Pero este estudio sigue teniendo la prensa como fuente de datos y no utiliza eventos estructurados como podría ser el GDELT. </w:t>
      </w:r>
    </w:p>
    <w:p w:rsidR="00000000" w:rsidDel="00000000" w:rsidP="00000000" w:rsidRDefault="00000000" w:rsidRPr="00000000" w14:paraId="000000CC">
      <w:pPr>
        <w:spacing w:after="200" w:before="0" w:lineRule="auto"/>
        <w:rPr/>
      </w:pPr>
      <w:r w:rsidDel="00000000" w:rsidR="00000000" w:rsidRPr="00000000">
        <w:rPr>
          <w:rtl w:val="0"/>
        </w:rPr>
        <w:t xml:space="preserve">Con este enfoque, Plakandaras, Gogas &amp; Papadimitriou (2019) analizan el riesgo a nivel global, centrándose en países emergentes, en vez de centrar totalmente su atención a los Estados Unidos. Para ello, analizaron 14 países por separado usando SVR (Support Vector Regression), para predecir cuatro activos: el oro, el petróleo, tipos de cambio e índices bursátiles. Para ello, se basaron en datos de un mes a dos años en el pasado. Las conclusiones que alcanzaron fueron que el riesgo en países emergentes tiene impacto a nivel regional y mostrando muy poca fuerza en la volatilidad a nivel global. A excepción del oro, demostrando que tiene un papel más centrado en ser un activo refugio, es decir, una inversión diseñada para preservar el capital. </w:t>
      </w:r>
    </w:p>
    <w:p w:rsidR="00000000" w:rsidDel="00000000" w:rsidP="00000000" w:rsidRDefault="00000000" w:rsidRPr="00000000" w14:paraId="000000CD">
      <w:pPr>
        <w:spacing w:after="200" w:before="0" w:lineRule="auto"/>
        <w:rPr/>
      </w:pPr>
      <w:r w:rsidDel="00000000" w:rsidR="00000000" w:rsidRPr="00000000">
        <w:rPr>
          <w:rtl w:val="0"/>
        </w:rPr>
        <w:t xml:space="preserve">Estos tres trabajos confirman que el riesgo geopolítico tiene capacidad predictiva sobre los mercados financieros, aunque todos muestran limitaciones a la hora de escoger fuentes de datos o utilizar modelos de ML que no capturan las relaciones entre los países, poniendo los esfuerzos en predecir volatilidad . El presente trabajo busca superar las limitaciones usando GDELT como fuente de datos estructurados. </w:t>
      </w:r>
    </w:p>
    <w:p w:rsidR="00000000" w:rsidDel="00000000" w:rsidP="00000000" w:rsidRDefault="00000000" w:rsidRPr="00000000" w14:paraId="000000CE">
      <w:pPr>
        <w:pStyle w:val="Heading2"/>
        <w:keepLines w:val="1"/>
        <w:spacing w:after="200" w:before="360" w:lineRule="auto"/>
        <w:ind w:left="0" w:firstLine="0"/>
        <w:rPr>
          <w:smallCaps w:val="0"/>
          <w:color w:val="000000"/>
        </w:rPr>
      </w:pPr>
      <w:bookmarkStart w:colFirst="0" w:colLast="0" w:name="_heading=h.o3m3migh84ov" w:id="22"/>
      <w:bookmarkEnd w:id="22"/>
      <w:r w:rsidDel="00000000" w:rsidR="00000000" w:rsidRPr="00000000">
        <w:rPr>
          <w:rtl w:val="0"/>
        </w:rPr>
      </w:r>
    </w:p>
    <w:p w:rsidR="00000000" w:rsidDel="00000000" w:rsidP="00000000" w:rsidRDefault="00000000" w:rsidRPr="00000000" w14:paraId="000000CF">
      <w:pPr>
        <w:pStyle w:val="Heading3"/>
        <w:keepLines w:val="1"/>
        <w:spacing w:before="360" w:line="276" w:lineRule="auto"/>
        <w:ind w:left="0" w:firstLine="0"/>
        <w:jc w:val="left"/>
        <w:rPr/>
      </w:pPr>
      <w:bookmarkStart w:colFirst="0" w:colLast="0" w:name="_heading=h.ryooiyb0rnhx" w:id="23"/>
      <w:bookmarkEnd w:id="23"/>
      <w:r w:rsidDel="00000000" w:rsidR="00000000" w:rsidRPr="00000000">
        <w:rPr>
          <w:rtl w:val="0"/>
        </w:rPr>
        <w:t xml:space="preserve">2.2.2 GDELT como fuente de datos para predicción financiera</w:t>
      </w:r>
    </w:p>
    <w:p w:rsidR="00000000" w:rsidDel="00000000" w:rsidP="00000000" w:rsidRDefault="00000000" w:rsidRPr="00000000" w14:paraId="000000D0">
      <w:pPr>
        <w:spacing w:after="200" w:before="240" w:lineRule="auto"/>
        <w:rPr/>
      </w:pPr>
      <w:r w:rsidDel="00000000" w:rsidR="00000000" w:rsidRPr="00000000">
        <w:rPr>
          <w:rtl w:val="0"/>
        </w:rPr>
        <w:t xml:space="preserve">El uso de GDELT ya ha sido utilizado con anterioridad como fuente de datos principal para capturar la frecuencia de eventos geopolíticos. Estudios como el de Fallahi (2017) lo han utilizado junto con SVM, que es muy utilizado para tareas de clasificación y regresión. En el caso de los mercados financieros, es útil para manejar grandes conjuntos de datos y relaciones, encontrando el hiperplano que ajuste los datos en diversas clases, como si el precio de una acción subirá o bajará. </w:t>
      </w:r>
    </w:p>
    <w:p w:rsidR="00000000" w:rsidDel="00000000" w:rsidP="00000000" w:rsidRDefault="00000000" w:rsidRPr="00000000" w14:paraId="000000D1">
      <w:pPr>
        <w:spacing w:after="200" w:before="240" w:lineRule="auto"/>
        <w:rPr/>
      </w:pPr>
      <w:r w:rsidDel="00000000" w:rsidR="00000000" w:rsidRPr="00000000">
        <w:rPr>
          <w:rtl w:val="0"/>
        </w:rPr>
        <w:t xml:space="preserve">Otros trabajos como el de Consoli et al. (2020), usaron modelos de Gradient Boosting junto a GDELT como fuente de datos, que extraen indicadores de inversión centrado en Italia, para compararlos con la prima de riesgo alemana. Este tipo de modelos aprovecha la combinación múltiples árboles de decisión para mejorar la precisión predictiva y reducir el </w:t>
      </w:r>
      <w:r w:rsidDel="00000000" w:rsidR="00000000" w:rsidRPr="00000000">
        <w:rPr>
          <w:i w:val="1"/>
          <w:iCs w:val="1"/>
          <w:rtl w:val="0"/>
        </w:rPr>
        <w:t xml:space="preserve">overfitting</w:t>
      </w:r>
      <w:r w:rsidDel="00000000" w:rsidR="00000000" w:rsidRPr="00000000">
        <w:rPr>
          <w:rtl w:val="0"/>
        </w:rPr>
        <w:t xml:space="preserve">, aunque presentan un mayor coste computacional durante el entrenamiento. </w:t>
      </w:r>
    </w:p>
    <w:p w:rsidR="00000000" w:rsidDel="00000000" w:rsidP="00000000" w:rsidRDefault="00000000" w:rsidRPr="00000000" w14:paraId="000000D2">
      <w:pPr>
        <w:spacing w:after="200" w:before="240" w:lineRule="auto"/>
        <w:rPr/>
      </w:pPr>
      <w:r w:rsidDel="00000000" w:rsidR="00000000" w:rsidRPr="00000000">
        <w:rPr>
          <w:rtl w:val="0"/>
        </w:rPr>
        <w:t xml:space="preserve">La investigación más reciente es la de Myers et al. (2025) que desarrolló un framework basado en ontología para construir </w:t>
      </w:r>
      <w:r w:rsidDel="00000000" w:rsidR="00000000" w:rsidRPr="00000000">
        <w:rPr>
          <w:i w:val="1"/>
          <w:iCs w:val="1"/>
          <w:rtl w:val="0"/>
        </w:rPr>
        <w:t xml:space="preserve">knowledge graphs</w:t>
      </w:r>
      <w:r w:rsidDel="00000000" w:rsidR="00000000" w:rsidRPr="00000000">
        <w:rPr>
          <w:rtl w:val="0"/>
        </w:rPr>
        <w:t xml:space="preserve"> desde GDELT, aprovechando la estructura de datos que devuelve a diario esa fuente de información. El mayor problema identificado, es la transformación de la base de datos a un grafo utilizable. Este proyecto está centrado en LLMs que capturen eventos para luego poder ser consultados de forma pregunta-respuesta, aunque a veces devuelve resúmenes que carecen de consistencia.</w:t>
      </w:r>
    </w:p>
    <w:p w:rsidR="00000000" w:rsidDel="00000000" w:rsidP="00000000" w:rsidRDefault="00000000" w:rsidRPr="00000000" w14:paraId="000000D3">
      <w:pPr>
        <w:spacing w:after="200" w:before="240" w:lineRule="auto"/>
        <w:rPr/>
      </w:pPr>
      <w:r w:rsidDel="00000000" w:rsidR="00000000" w:rsidRPr="00000000">
        <w:rPr>
          <w:rtl w:val="0"/>
        </w:rPr>
        <w:t xml:space="preserve">Esta es una aproximación parecida al planteamiento de este proyecto, ya que convierte el GDELT en una estructura de grafo, aunque no lo utiliza para la predicción financiera. </w:t>
      </w:r>
    </w:p>
    <w:p w:rsidR="00000000" w:rsidDel="00000000" w:rsidP="00000000" w:rsidRDefault="00000000" w:rsidRPr="00000000" w14:paraId="000000D4">
      <w:pPr>
        <w:spacing w:after="200" w:before="240" w:lineRule="auto"/>
        <w:rPr/>
      </w:pPr>
      <w:r w:rsidDel="00000000" w:rsidR="00000000" w:rsidRPr="00000000">
        <w:rPr>
          <w:rtl w:val="0"/>
        </w:rPr>
      </w:r>
    </w:p>
    <w:p w:rsidR="00000000" w:rsidDel="00000000" w:rsidP="00000000" w:rsidRDefault="00000000" w:rsidRPr="00000000" w14:paraId="000000D5">
      <w:pPr>
        <w:pStyle w:val="Heading3"/>
        <w:keepLines w:val="1"/>
        <w:spacing w:after="200" w:before="240" w:lineRule="auto"/>
        <w:ind w:left="0" w:firstLine="0"/>
        <w:rPr/>
      </w:pPr>
      <w:bookmarkStart w:colFirst="0" w:colLast="0" w:name="_heading=h.ssf1ysb4n71r" w:id="24"/>
      <w:bookmarkEnd w:id="24"/>
      <w:r w:rsidDel="00000000" w:rsidR="00000000" w:rsidRPr="00000000">
        <w:rPr>
          <w:rtl w:val="0"/>
        </w:rPr>
        <w:t xml:space="preserve">2.2.3 GNN en predicción bursátil </w:t>
      </w:r>
    </w:p>
    <w:p w:rsidR="00000000" w:rsidDel="00000000" w:rsidP="00000000" w:rsidRDefault="00000000" w:rsidRPr="00000000" w14:paraId="000000D6">
      <w:pPr>
        <w:spacing w:after="200" w:before="240" w:lineRule="auto"/>
        <w:rPr/>
      </w:pPr>
      <w:r w:rsidDel="00000000" w:rsidR="00000000" w:rsidRPr="00000000">
        <w:rPr>
          <w:rtl w:val="0"/>
        </w:rPr>
        <w:t xml:space="preserve">Según una revisión reciente del campo, el mercado bursátil debe de tratarse como una red y no como una entidad singular, ya que el impacto de un evento externo afecta a un conjunto de empresas, que se propaga a otras relacionadas con ella (porque están en el mismo sector o porque tienen una cadena de suministro que las une). A este fenómeno los autores lo nombraron como </w:t>
      </w:r>
      <w:r w:rsidDel="00000000" w:rsidR="00000000" w:rsidRPr="00000000">
        <w:rPr>
          <w:i w:val="1"/>
          <w:iCs w:val="1"/>
          <w:rtl w:val="0"/>
        </w:rPr>
        <w:t xml:space="preserve">momentum spillover</w:t>
      </w:r>
      <w:r w:rsidDel="00000000" w:rsidR="00000000" w:rsidRPr="00000000">
        <w:rPr>
          <w:rtl w:val="0"/>
        </w:rPr>
        <w:t xml:space="preserve"> </w:t>
      </w:r>
      <w:r w:rsidDel="00000000" w:rsidR="00000000" w:rsidRPr="00000000">
        <w:rPr>
          <w:i w:val="1"/>
          <w:iCs w:val="1"/>
          <w:rtl w:val="0"/>
        </w:rPr>
        <w:t xml:space="preserve">(Patel, Jariwala &amp; Chattopadhyay, 2025)</w:t>
      </w:r>
      <w:r w:rsidDel="00000000" w:rsidR="00000000" w:rsidRPr="00000000">
        <w:rPr>
          <w:rtl w:val="0"/>
        </w:rPr>
        <w:t xml:space="preserve">. A partir del análisis de estudios existentes, identificaron tres métodos para la creación de los grafos, con sus diferentes relaciones: </w:t>
      </w:r>
    </w:p>
    <w:p w:rsidR="00000000" w:rsidDel="00000000" w:rsidP="00000000" w:rsidRDefault="00000000" w:rsidRPr="00000000" w14:paraId="000000D7">
      <w:pPr>
        <w:numPr>
          <w:ilvl w:val="0"/>
          <w:numId w:val="20"/>
        </w:numPr>
        <w:spacing w:after="0" w:before="240" w:lineRule="auto"/>
        <w:ind w:left="720" w:hanging="360"/>
        <w:rPr>
          <w:u w:val="none"/>
        </w:rPr>
      </w:pPr>
      <w:r w:rsidDel="00000000" w:rsidR="00000000" w:rsidRPr="00000000">
        <w:rPr>
          <w:rtl w:val="0"/>
        </w:rPr>
        <w:t xml:space="preserve">El primero de ellos calcula la correlación histórica de dos acciones, con el coeficiente Pearson, y si superan un umbral de correlación se crea una arista entre ellas. Por ejemplo, si Apple y Microsoft tienden a subir y bajar juntas en un período de tiempo, estarán conectadas. Esto permite analizar las acciones y comprobar su correlación. Esto únicamente tiene en cuenta el precio de las acciones, pero no investiga si hay fenómenos externos que están teniendo un impacto en el precio. Si hay una declaración de guerra que hace que bajen los precios de las acciones, el grafo no se verá reflejado hasta que los precios lleven un tiempo bajando juntos, pero nunca se sabrá que ha podido generar esta fluctuación. </w:t>
      </w:r>
      <w:r w:rsidDel="00000000" w:rsidR="00000000" w:rsidRPr="00000000">
        <w:rPr>
          <w:rtl w:val="0"/>
        </w:rPr>
      </w:r>
    </w:p>
    <w:p w:rsidR="00000000" w:rsidDel="00000000" w:rsidP="00000000" w:rsidRDefault="00000000" w:rsidRPr="00000000" w14:paraId="000000D8">
      <w:pPr>
        <w:numPr>
          <w:ilvl w:val="0"/>
          <w:numId w:val="20"/>
        </w:numPr>
        <w:spacing w:after="0" w:before="0" w:lineRule="auto"/>
        <w:ind w:left="720" w:hanging="360"/>
        <w:rPr>
          <w:u w:val="none"/>
        </w:rPr>
      </w:pPr>
      <w:r w:rsidDel="00000000" w:rsidR="00000000" w:rsidRPr="00000000">
        <w:rPr>
          <w:rtl w:val="0"/>
        </w:rPr>
        <w:t xml:space="preserve">El segundo método es mediante el </w:t>
      </w:r>
      <w:r w:rsidDel="00000000" w:rsidR="00000000" w:rsidRPr="00000000">
        <w:rPr>
          <w:i w:val="1"/>
          <w:iCs w:val="1"/>
          <w:rtl w:val="0"/>
        </w:rPr>
        <w:t xml:space="preserve">knowledge graphs</w:t>
      </w:r>
      <w:r w:rsidDel="00000000" w:rsidR="00000000" w:rsidRPr="00000000">
        <w:rPr>
          <w:rtl w:val="0"/>
        </w:rPr>
        <w:t xml:space="preserve">. En este, los grafos no se definen por precios, sino por conexiones de diferentes empresas en el mundo real, ya sea porque son proveedores, competidores o cadenas de suministro(Hogan et al., 2021). Se extrae la información de bases como WikiData (Vrandečić &amp; Krötzsch, 2014). El problema de este método es que las relaciones son estáticas y nunca se sabe si ha habido cambios en alguno de los diferentes apartados. Por ejemplo, si una empresa cambia de proveedor para generar sus productos, el grafo no tendrá constancia de este cambio. Así que necesita una comprobación humana que vaya revisando si han habido modificaciones en las relaciones de los grafos. </w:t>
      </w:r>
      <w:r w:rsidDel="00000000" w:rsidR="00000000" w:rsidRPr="00000000">
        <w:rPr>
          <w:rtl w:val="0"/>
        </w:rPr>
      </w:r>
    </w:p>
    <w:p w:rsidR="00000000" w:rsidDel="00000000" w:rsidP="00000000" w:rsidRDefault="00000000" w:rsidRPr="00000000" w14:paraId="000000D9">
      <w:pPr>
        <w:numPr>
          <w:ilvl w:val="0"/>
          <w:numId w:val="20"/>
        </w:numPr>
        <w:spacing w:after="200" w:before="0" w:lineRule="auto"/>
        <w:ind w:left="720" w:hanging="360"/>
        <w:rPr>
          <w:u w:val="none"/>
        </w:rPr>
      </w:pPr>
      <w:r w:rsidDel="00000000" w:rsidR="00000000" w:rsidRPr="00000000">
        <w:rPr>
          <w:rtl w:val="0"/>
        </w:rPr>
        <w:t xml:space="preserve">Y por último, está el grafo automático, que busca automáticamente las relaciones que unen las empresas. Utiliza un autoencoder variacional que comprime los datos de cada empresa en un vector de características, que captura patrones de volatilidad, respuesta a eventos, cambios en la empresa y, posteriormente, comparar estos vectores para decir con que peso las conecta. Si hay dos empresas que tienen datos parecidos, aunque no sean del mismo sector, el modelo las conecta. </w:t>
      </w:r>
      <w:r w:rsidDel="00000000" w:rsidR="00000000" w:rsidRPr="00000000">
        <w:rPr>
          <w:rtl w:val="0"/>
        </w:rPr>
      </w:r>
    </w:p>
    <w:p w:rsidR="00000000" w:rsidDel="00000000" w:rsidP="00000000" w:rsidRDefault="00000000" w:rsidRPr="00000000" w14:paraId="000000DA">
      <w:pPr>
        <w:spacing w:after="200" w:before="240" w:lineRule="auto"/>
        <w:rPr/>
      </w:pPr>
      <w:r w:rsidDel="00000000" w:rsidR="00000000" w:rsidRPr="00000000">
        <w:rPr>
          <w:rtl w:val="0"/>
        </w:rPr>
        <w:t xml:space="preserve">Esto permite encontrar correlaciones de empresas que en principio no tienen nada que ver pero que se comportan de forma parecida ante un momento de incertidumbre geopolítica. Esto permitiría añadir una capa de análisis que el humano por sí mismo, nunca podría encontrar. Con esto, encontraron dos problemas en este sistema, y es que los gestores de riesgo necesitan entender el por qué de estos comportamientos y el motivo de que el agente tome las acciones que toma. El segundo, es que puede ser que dos empresas se vean relacionadas durante el período de entrenamiento del modelo, pero al llevarla en la práctica, se encuentra que no tienen nada que ver entre ellas. Esto puede generar predicciones erróneas a la larga.  </w:t>
      </w:r>
    </w:p>
    <w:p w:rsidR="00000000" w:rsidDel="00000000" w:rsidP="00000000" w:rsidRDefault="00000000" w:rsidRPr="00000000" w14:paraId="000000DB">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before="240" w:lineRule="auto"/>
        <w:rPr/>
      </w:pPr>
      <w:r w:rsidDel="00000000" w:rsidR="00000000" w:rsidRPr="00000000">
        <w:rPr>
          <w:rtl w:val="0"/>
        </w:rPr>
        <w:t xml:space="preserve">Aunque se habían hecho pruebas, habían demasiadas incertidumbres sobre el funcionamiento. Para abordar estas limitaciones, Kim et al. (2019) propusieron HATS (</w:t>
      </w:r>
      <w:r w:rsidDel="00000000" w:rsidR="00000000" w:rsidRPr="00000000">
        <w:rPr>
          <w:i w:val="1"/>
          <w:iCs w:val="1"/>
          <w:rtl w:val="0"/>
        </w:rPr>
        <w:t xml:space="preserve">Hierarchical Graph Attention Network for Stock Movement Prediction</w:t>
      </w:r>
      <w:r w:rsidDel="00000000" w:rsidR="00000000" w:rsidRPr="00000000">
        <w:rPr>
          <w:rtl w:val="0"/>
        </w:rPr>
        <w:t xml:space="preserve">), un modelo diseñado específicamente para la predicción bursátil mediante grafos. Los autores concluyeron que había dos problemas. El primero es que la calidad de la información recogida para la creación de los mismos no estaba siendo tratada correctamente, haciendo que las relaciones y valores que se creaban eran poco exactos El segundo es que no se estudiaba los mercados completos, sinó como agentes individuales. </w:t>
      </w:r>
    </w:p>
    <w:p w:rsidR="00000000" w:rsidDel="00000000" w:rsidP="00000000" w:rsidRDefault="00000000" w:rsidRPr="00000000" w14:paraId="000000DD">
      <w:pPr>
        <w:spacing w:after="200" w:before="240" w:lineRule="auto"/>
        <w:rPr/>
      </w:pPr>
      <w:r w:rsidDel="00000000" w:rsidR="00000000" w:rsidRPr="00000000">
        <w:rPr>
          <w:rtl w:val="0"/>
        </w:rPr>
        <w:t xml:space="preserve">Para resolverlo, HATS aplica un mecanismo jerárquico de dos niveles. Primero pondera la importancia vecina de cada empresa dentro de un mismo tipo de relación y luego decide el tipo de relación más adecuada para cada momento. Se dieron cuenta que era muy importante tener datos y relaciones adecuadas, ya que incorporar relaciones irrelevantes empeoraba el rendimiento del modelo. </w:t>
      </w:r>
    </w:p>
    <w:p w:rsidR="00000000" w:rsidDel="00000000" w:rsidP="00000000" w:rsidRDefault="00000000" w:rsidRPr="00000000" w14:paraId="000000DE">
      <w:pPr>
        <w:spacing w:after="200" w:before="240" w:lineRule="auto"/>
        <w:rPr/>
      </w:pPr>
      <w:r w:rsidDel="00000000" w:rsidR="00000000" w:rsidRPr="00000000">
        <w:rPr>
          <w:rtl w:val="0"/>
        </w:rPr>
        <w:t xml:space="preserve">Evaluando sobre las empresas del S&amp;P500, HATS trató el índice como un grafo completo y cada nodo era una empresa. Mediante </w:t>
      </w:r>
      <w:r w:rsidDel="00000000" w:rsidR="00000000" w:rsidRPr="00000000">
        <w:rPr>
          <w:i w:val="1"/>
          <w:iCs w:val="1"/>
          <w:rtl w:val="0"/>
        </w:rPr>
        <w:t xml:space="preserve">graph pooling</w:t>
      </w:r>
      <w:r w:rsidDel="00000000" w:rsidR="00000000" w:rsidRPr="00000000">
        <w:rPr>
          <w:rtl w:val="0"/>
        </w:rPr>
        <w:t xml:space="preserve">, condensaron toda la información en un único vector para predecir si el índice subiría, bajaría o se mantendría estable. Los resultados mostraron un Sharpe ratio un 19,8% superior y un F1 un 3% mayor respecto a las baselines existentes. </w:t>
      </w:r>
    </w:p>
    <w:p w:rsidR="00000000" w:rsidDel="00000000" w:rsidP="00000000" w:rsidRDefault="00000000" w:rsidRPr="00000000" w14:paraId="000000DF">
      <w:pPr>
        <w:spacing w:after="200" w:before="240" w:lineRule="auto"/>
        <w:rPr/>
      </w:pPr>
      <w:r w:rsidDel="00000000" w:rsidR="00000000" w:rsidRPr="00000000">
        <w:rPr>
          <w:rtl w:val="0"/>
        </w:rPr>
        <w:t xml:space="preserve">Sin embargo, el grafo de HATS seguía siendo estático, las relaciones entre las empresas no cambiaban con el tiempo. Chen et al. (2023) identificaron éste como un problema en todos los modelos anteriores, un </w:t>
      </w:r>
      <w:r w:rsidDel="00000000" w:rsidR="00000000" w:rsidRPr="00000000">
        <w:rPr>
          <w:i w:val="1"/>
          <w:iCs w:val="1"/>
          <w:rtl w:val="0"/>
        </w:rPr>
        <w:t xml:space="preserve">knowledge graph</w:t>
      </w:r>
      <w:r w:rsidDel="00000000" w:rsidR="00000000" w:rsidRPr="00000000">
        <w:rPr>
          <w:rtl w:val="0"/>
        </w:rPr>
        <w:t xml:space="preserve"> predefinido no puede analizar si el mercado evoluciona o ha sufrido cambios, y tampoco es capaz de distinguir la diferencia de dos eventos, que parecen similares pero son totalmente diferentes. Por ejemplo, el abandono de un directivo de una empresa pequeña y la dimisión de Steve Jobs en Apple son el mismo tipo de noticia y el titular será muy parecido, pero el impacto que tienen en la industria son muy distintos. </w:t>
      </w:r>
    </w:p>
    <w:p w:rsidR="00000000" w:rsidDel="00000000" w:rsidP="00000000" w:rsidRDefault="00000000" w:rsidRPr="00000000" w14:paraId="000000E0">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200" w:before="240" w:lineRule="auto"/>
        <w:rPr/>
      </w:pPr>
      <w:r w:rsidDel="00000000" w:rsidR="00000000" w:rsidRPr="00000000">
        <w:rPr>
          <w:rtl w:val="0"/>
        </w:rPr>
        <w:t xml:space="preserve">Para resolverlo, propusieron usar ChatGPT para construir un grafo dinámico utilizando noticias financieras. A diario, el agente analizaba las noticias de ese día e infería para comprobar qué empresas tenían relaciones entre sí, generando un grafo nuevo y actualizado diariamente. Es importante remarcar que este grafo añade información a diario pero las relaciones permanecen estables en el tiempo. </w:t>
      </w:r>
    </w:p>
    <w:p w:rsidR="00000000" w:rsidDel="00000000" w:rsidP="00000000" w:rsidRDefault="00000000" w:rsidRPr="00000000" w14:paraId="000000E2">
      <w:pPr>
        <w:spacing w:after="200" w:before="240" w:lineRule="auto"/>
        <w:rPr/>
      </w:pPr>
      <w:r w:rsidDel="00000000" w:rsidR="00000000" w:rsidRPr="00000000">
        <w:rPr>
          <w:rtl w:val="0"/>
        </w:rPr>
        <w:t xml:space="preserve">Su funcionamiento es que un GNN procesa ese grafo para generar una representaciones vectoriales por empresa, que luego se combina con un LSTM para predecir el posible movimiento del día siguiente. Evaluando sobre 30 empresas, el modelo superó todos los baselines con una mejora mínima del 1.8% en F1, y las carteras que la utilizaron como herramienta de predicción tuvieron mayor retorno anual y menor volatilidad. </w:t>
      </w:r>
    </w:p>
    <w:p w:rsidR="00000000" w:rsidDel="00000000" w:rsidP="00000000" w:rsidRDefault="00000000" w:rsidRPr="00000000" w14:paraId="000000E3">
      <w:pPr>
        <w:spacing w:after="200" w:before="240" w:lineRule="auto"/>
        <w:rPr/>
      </w:pPr>
      <w:r w:rsidDel="00000000" w:rsidR="00000000" w:rsidRPr="00000000">
        <w:rPr>
          <w:rtl w:val="0"/>
        </w:rPr>
        <w:t xml:space="preserve">Este trabajo es relevante porque demuestra que utilizar fuentes de información muestran una mejora en el sistema de predicción del grafo. Aunque esta herramienta tiene una limitación y es que únicamente hace una búsqueda de noticias de naturaleza corporativa, dejando de lado eventos geopolíticos entre países. Ese es el espacio mejorable mediante GDELT, para añadir información de forma más global sin una limitación a noticias empresariales, como por ejemplo, eventos entre países, tensiones militares o conflictos que impactan al mercado antes de que aparezcan reflejados en noticias de naturaleza corporativa.  </w:t>
      </w:r>
    </w:p>
    <w:p w:rsidR="00000000" w:rsidDel="00000000" w:rsidP="00000000" w:rsidRDefault="00000000" w:rsidRPr="00000000" w14:paraId="000000E4">
      <w:pPr>
        <w:spacing w:after="200" w:before="240" w:lineRule="auto"/>
        <w:rPr/>
      </w:pPr>
      <w:r w:rsidDel="00000000" w:rsidR="00000000" w:rsidRPr="00000000">
        <w:rPr>
          <w:rtl w:val="0"/>
        </w:rPr>
        <w:t xml:space="preserve">Todos los modelos nombrados con anterioridad comparten una deficiencia común, todas las relaciones entre empresas son estables en el tiempo, y no tienen en cuenta que hay variaciones en el mercado que pueden variar según el ciclo económico, eventos externos o rotaciones de mercado. Esto hace que los modelos queden obsoletos con el tiempo. </w:t>
      </w:r>
    </w:p>
    <w:p w:rsidR="00000000" w:rsidDel="00000000" w:rsidP="00000000" w:rsidRDefault="00000000" w:rsidRPr="00000000" w14:paraId="000000E5">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200" w:before="240" w:lineRule="auto"/>
        <w:rPr/>
      </w:pPr>
      <w:r w:rsidDel="00000000" w:rsidR="00000000" w:rsidRPr="00000000">
        <w:rPr>
          <w:rtl w:val="0"/>
        </w:rPr>
        <w:t xml:space="preserve">FSTGAT propuso una mejora para resolver esta limitación. En lugar de utilizar redes LSTM para capturar datos, usan convolución causal (van den Oord et al., 2016) , una técnica que garantiza que los datos són siempre del pasado y nunca puede usar datos a futuro. Así no puede entrenarse con datos que en la práctica no estarían disponibles en el momento de la predicción. También innovó utilizando una versión mejorada del GAT (Veličković et al., 2018) , que incorpora más información sobre el mercado y permite que haya modificaciones en las aristas ya implementadas. Si por ejemplo hay una correlación que desaparece, las aristas se actualizan. </w:t>
      </w:r>
    </w:p>
    <w:p w:rsidR="00000000" w:rsidDel="00000000" w:rsidP="00000000" w:rsidRDefault="00000000" w:rsidRPr="00000000" w14:paraId="000000E7">
      <w:pPr>
        <w:spacing w:after="200" w:before="240" w:lineRule="auto"/>
        <w:rPr/>
      </w:pPr>
      <w:r w:rsidDel="00000000" w:rsidR="00000000" w:rsidRPr="00000000">
        <w:rPr>
          <w:rtl w:val="0"/>
        </w:rPr>
        <w:t xml:space="preserve">La última implementación es la agrupación de empresas por sector, haciendo que el modelo aprenda de forma simultánea las relaciones dentro del grupo y entre grupos distintos. Esto demostró más eficiencia  y precisión que tratar todas las empresas como un único conjunto plano. </w:t>
      </w:r>
    </w:p>
    <w:p w:rsidR="00000000" w:rsidDel="00000000" w:rsidP="00000000" w:rsidRDefault="00000000" w:rsidRPr="00000000" w14:paraId="000000E8">
      <w:pPr>
        <w:spacing w:after="200" w:before="240" w:lineRule="auto"/>
        <w:rPr/>
      </w:pPr>
      <w:r w:rsidDel="00000000" w:rsidR="00000000" w:rsidRPr="00000000">
        <w:rPr>
          <w:rtl w:val="0"/>
        </w:rPr>
        <w:t xml:space="preserve">Los resultados demuestran que en escenarios de gran volatilidad, un modelo GNN reduce el error de predicción entre un 45% y un 69%. Este dato confirma que añadir la capa de GDELT, debería amplificar las ventajas que aporta el GNN en escenarios de incertidumbre. </w:t>
      </w:r>
    </w:p>
    <w:p w:rsidR="00000000" w:rsidDel="00000000" w:rsidP="00000000" w:rsidRDefault="00000000" w:rsidRPr="00000000" w14:paraId="000000E9">
      <w:pPr>
        <w:spacing w:after="200" w:before="240" w:lineRule="auto"/>
        <w:rPr/>
      </w:pPr>
      <w:r w:rsidDel="00000000" w:rsidR="00000000" w:rsidRPr="00000000">
        <w:rPr>
          <w:rtl w:val="0"/>
        </w:rPr>
        <w:t xml:space="preserve">Los métodos descritos comparten una limitación común, el grafo se construye mediante la información del mercado financiero, peró ninguno de ellos tiene la capacidad para incorporar información externa como eventos geopolíticos. El enfoque propuesto para este trabajo, busca incorporar estos datos, para que el grafo se construya a partir de eventos extraídos de GDELT, representando interacciones entre países que permitan anticipar fluctuaciones de mercado antes de que la información quede imbuida en los datos financieros. </w:t>
      </w:r>
    </w:p>
    <w:p w:rsidR="00000000" w:rsidDel="00000000" w:rsidP="00000000" w:rsidRDefault="00000000" w:rsidRPr="00000000" w14:paraId="000000EA">
      <w:pPr>
        <w:spacing w:after="200" w:before="240" w:lineRule="auto"/>
        <w:rPr/>
      </w:pPr>
      <w:r w:rsidDel="00000000" w:rsidR="00000000" w:rsidRPr="00000000">
        <w:rPr>
          <w:rtl w:val="0"/>
        </w:rPr>
      </w:r>
    </w:p>
    <w:p w:rsidR="00000000" w:rsidDel="00000000" w:rsidP="00000000" w:rsidRDefault="00000000" w:rsidRPr="00000000" w14:paraId="000000EB">
      <w:pPr>
        <w:pStyle w:val="Heading2"/>
        <w:keepLines w:val="1"/>
        <w:spacing w:after="200" w:before="240" w:lineRule="auto"/>
        <w:ind w:left="0" w:firstLine="0"/>
        <w:rPr>
          <w:smallCaps w:val="0"/>
          <w:color w:val="1c4587"/>
        </w:rPr>
      </w:pPr>
      <w:bookmarkStart w:colFirst="0" w:colLast="0" w:name="_heading=h.ozk8zdhfvxs9" w:id="25"/>
      <w:bookmarkEnd w:id="25"/>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keepLines w:val="1"/>
        <w:spacing w:after="200" w:before="240" w:lineRule="auto"/>
        <w:ind w:left="0" w:firstLine="0"/>
        <w:rPr/>
      </w:pPr>
      <w:bookmarkStart w:colFirst="0" w:colLast="0" w:name="_heading=h.qptje5fl2nmk" w:id="26"/>
      <w:bookmarkEnd w:id="26"/>
      <w:r w:rsidDel="00000000" w:rsidR="00000000" w:rsidRPr="00000000">
        <w:rPr>
          <w:rtl w:val="0"/>
        </w:rPr>
        <w:t xml:space="preserve">2.2.4 Grafos temporales y dinámicos</w:t>
      </w:r>
    </w:p>
    <w:p w:rsidR="00000000" w:rsidDel="00000000" w:rsidP="00000000" w:rsidRDefault="00000000" w:rsidRPr="00000000" w14:paraId="000000ED">
      <w:pPr>
        <w:spacing w:after="200" w:before="240" w:lineRule="auto"/>
        <w:rPr/>
      </w:pPr>
      <w:r w:rsidDel="00000000" w:rsidR="00000000" w:rsidRPr="00000000">
        <w:rPr>
          <w:rtl w:val="0"/>
        </w:rPr>
        <w:t xml:space="preserve">A la hora de escoger el tipo de grafo, es muy importante analizar qué tipos se pueden usar y cuáles son los beneficios que pueden aportar al proyecto. </w:t>
      </w:r>
    </w:p>
    <w:p w:rsidR="00000000" w:rsidDel="00000000" w:rsidP="00000000" w:rsidRDefault="00000000" w:rsidRPr="00000000" w14:paraId="000000EE">
      <w:pPr>
        <w:spacing w:after="200" w:before="240" w:lineRule="auto"/>
        <w:rPr/>
      </w:pPr>
      <w:r w:rsidDel="00000000" w:rsidR="00000000" w:rsidRPr="00000000">
        <w:rPr>
          <w:rtl w:val="0"/>
        </w:rPr>
        <w:t xml:space="preserve">Los grafos estáticos tienen aristas fijas y las relaciones entre los nodos no se modifican con el tiempo. Es el que usaba HATS y otros modelos analizados, el problema de estos es que no tienen en cuenta que las relaciones pueden evolucionar, un conflicto puede crear o destruir relaciones entre países, haciendo que el grafo deje de tener sentido. </w:t>
      </w:r>
    </w:p>
    <w:p w:rsidR="00000000" w:rsidDel="00000000" w:rsidP="00000000" w:rsidRDefault="00000000" w:rsidRPr="00000000" w14:paraId="000000EF">
      <w:pPr>
        <w:spacing w:after="200" w:before="240" w:lineRule="auto"/>
        <w:rPr/>
      </w:pPr>
      <w:r w:rsidDel="00000000" w:rsidR="00000000" w:rsidRPr="00000000">
        <w:rPr>
          <w:rtl w:val="0"/>
        </w:rPr>
        <w:t xml:space="preserve">Los grafos dinámicos discretos generan un grafo nuevo por cada periodo de tiempo, por ejemplo cada día. Cada espacio de tiempo captura el estado de relación en ese momento. Es un enfoque más acertado a la hora de analizar eventos del GDELT, ya que tiene un sistema de refresco de información que va capturando dinámicamente el estado global de un período de tiempo específico, y permite predecir de forma más precisa eventos en el siguiente período. </w:t>
      </w:r>
    </w:p>
    <w:p w:rsidR="00000000" w:rsidDel="00000000" w:rsidP="00000000" w:rsidRDefault="00000000" w:rsidRPr="00000000" w14:paraId="000000F0">
      <w:pPr>
        <w:spacing w:after="200" w:before="240" w:lineRule="auto"/>
        <w:rPr/>
      </w:pPr>
      <w:r w:rsidDel="00000000" w:rsidR="00000000" w:rsidRPr="00000000">
        <w:rPr>
          <w:rtl w:val="0"/>
        </w:rPr>
        <w:t xml:space="preserve">Los grafos dinámicos continuos permiten incorporar información en tiempo real, actualizando constantemente las relaciones entre nodos. Sin embargo, este enfoque incrementa mucho el flujo de datos y suele aplicarse en escenarios que evolucionan de forma continua. En la predicción diaria quizás es más adecuado utilizar grafos dinámicos discretos basados en momentos temporales.  </w:t>
      </w:r>
    </w:p>
    <w:p w:rsidR="00000000" w:rsidDel="00000000" w:rsidP="00000000" w:rsidRDefault="00000000" w:rsidRPr="00000000" w14:paraId="000000F1">
      <w:pPr>
        <w:spacing w:after="200" w:before="240" w:lineRule="auto"/>
        <w:rPr/>
      </w:pPr>
      <w:r w:rsidDel="00000000" w:rsidR="00000000" w:rsidRPr="00000000">
        <w:rPr>
          <w:rtl w:val="0"/>
        </w:rPr>
      </w:r>
    </w:p>
    <w:p w:rsidR="00000000" w:rsidDel="00000000" w:rsidP="00000000" w:rsidRDefault="00000000" w:rsidRPr="00000000" w14:paraId="000000F2">
      <w:pPr>
        <w:spacing w:after="20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numPr>
          <w:ilvl w:val="1"/>
          <w:numId w:val="7"/>
        </w:numPr>
        <w:ind w:left="716" w:hanging="432"/>
        <w:rPr>
          <w:smallCaps w:val="0"/>
        </w:rPr>
      </w:pPr>
      <w:bookmarkStart w:colFirst="0" w:colLast="0" w:name="_heading=h.izxr1r3srsg" w:id="27"/>
      <w:bookmarkEnd w:id="27"/>
      <w:sdt>
        <w:sdtPr>
          <w:id w:val="-1293675843"/>
          <w:tag w:val="goog_rdk_3"/>
        </w:sdtPr>
        <w:sdtContent>
          <w:commentRangeStart w:id="3"/>
        </w:sdtContent>
      </w:sdt>
      <w:r w:rsidDel="00000000" w:rsidR="00000000" w:rsidRPr="00000000">
        <w:rPr>
          <w:smallCaps w:val="0"/>
          <w:rtl w:val="0"/>
        </w:rPr>
        <w:t xml:space="preserve">Conclusiones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4">
      <w:pPr>
        <w:spacing w:after="200" w:before="240" w:lineRule="auto"/>
        <w:rPr/>
      </w:pPr>
      <w:r w:rsidDel="00000000" w:rsidR="00000000" w:rsidRPr="00000000">
        <w:rPr>
          <w:rtl w:val="0"/>
        </w:rPr>
        <w:t xml:space="preserve">En este capítulo se ha confirmado que el riesgo geopolítico tiene capacidad predictiva sobre mercados financieros gracias a las investigaciones de Caldara &amp; Iacoviello (2022), Niu et al. (2023) y Plakandaras, Gogas &amp; Papadimitriou (2019). Aunque todos utilizan fuentes de prensa como datos, aplicando modelos de ML incapaces de relacionar los eventos y los países. </w:t>
      </w:r>
    </w:p>
    <w:p w:rsidR="00000000" w:rsidDel="00000000" w:rsidP="00000000" w:rsidRDefault="00000000" w:rsidRPr="00000000" w14:paraId="000000F5">
      <w:pPr>
        <w:spacing w:after="200" w:before="240" w:lineRule="auto"/>
        <w:rPr/>
      </w:pPr>
      <w:r w:rsidDel="00000000" w:rsidR="00000000" w:rsidRPr="00000000">
        <w:rPr>
          <w:rtl w:val="0"/>
        </w:rPr>
        <w:t xml:space="preserve">También se ha demostrado con las investigaciones de Fallahi (2017), Consoli et al. (2020) que GDELT es una fuente de datos válida a la hora de analizar grandes conjuntos de datos, aunque su transformación a grafos es costosa y complicada. </w:t>
      </w:r>
    </w:p>
    <w:p w:rsidR="00000000" w:rsidDel="00000000" w:rsidP="00000000" w:rsidRDefault="00000000" w:rsidRPr="00000000" w14:paraId="000000F6">
      <w:pPr>
        <w:spacing w:after="200" w:before="240" w:lineRule="auto"/>
        <w:rPr/>
      </w:pPr>
      <w:r w:rsidDel="00000000" w:rsidR="00000000" w:rsidRPr="00000000">
        <w:rPr>
          <w:rtl w:val="0"/>
        </w:rPr>
        <w:t xml:space="preserve">Por último, se ha demostrado con HATS (2019), Chen et al. (2023) y FSTGAT (2025) que modelar el mercado como un grafo complejo permite la predicción de volatilidad, aunque se haya utilizado de forma muy centrada en un país, priorizando las relaciones entre las empresas en vez de los vínculos de los países. </w:t>
      </w:r>
    </w:p>
    <w:p w:rsidR="00000000" w:rsidDel="00000000" w:rsidP="00000000" w:rsidRDefault="00000000" w:rsidRPr="00000000" w14:paraId="000000F7">
      <w:pPr>
        <w:spacing w:after="200" w:before="240" w:lineRule="auto"/>
        <w:rPr/>
      </w:pPr>
      <w:r w:rsidDel="00000000" w:rsidR="00000000" w:rsidRPr="00000000">
        <w:rPr>
          <w:rtl w:val="0"/>
        </w:rPr>
        <w:t xml:space="preserve">De la revisión de estas tres líneas, emergen cuatro cuestiones que no se han resuelto de forma simultánea. Qué son los siguientes: </w:t>
      </w:r>
    </w:p>
    <w:p w:rsidR="00000000" w:rsidDel="00000000" w:rsidP="00000000" w:rsidRDefault="00000000" w:rsidRPr="00000000" w14:paraId="000000F8">
      <w:pPr>
        <w:numPr>
          <w:ilvl w:val="0"/>
          <w:numId w:val="5"/>
        </w:numPr>
        <w:spacing w:after="0" w:before="240" w:lineRule="auto"/>
        <w:ind w:left="720" w:hanging="360"/>
        <w:rPr>
          <w:u w:val="none"/>
        </w:rPr>
      </w:pPr>
      <w:r w:rsidDel="00000000" w:rsidR="00000000" w:rsidRPr="00000000">
        <w:rPr>
          <w:rtl w:val="0"/>
        </w:rPr>
        <w:t xml:space="preserve">Combinación de GDELT con una GNN. </w:t>
      </w:r>
      <w:r w:rsidDel="00000000" w:rsidR="00000000" w:rsidRPr="00000000">
        <w:rPr>
          <w:rtl w:val="0"/>
        </w:rPr>
      </w:r>
    </w:p>
    <w:p w:rsidR="00000000" w:rsidDel="00000000" w:rsidP="00000000" w:rsidRDefault="00000000" w:rsidRPr="00000000" w14:paraId="000000F9">
      <w:pPr>
        <w:numPr>
          <w:ilvl w:val="0"/>
          <w:numId w:val="5"/>
        </w:numPr>
        <w:spacing w:after="0" w:before="0" w:lineRule="auto"/>
        <w:ind w:left="720" w:hanging="360"/>
        <w:rPr>
          <w:u w:val="none"/>
        </w:rPr>
      </w:pPr>
      <w:r w:rsidDel="00000000" w:rsidR="00000000" w:rsidRPr="00000000">
        <w:rPr>
          <w:rtl w:val="0"/>
        </w:rPr>
        <w:t xml:space="preserve">Construcción de un grafo que centre su atención en los países o personas importantes, donde los eventos sean las aristas del mismo. </w:t>
      </w:r>
      <w:r w:rsidDel="00000000" w:rsidR="00000000" w:rsidRPr="00000000">
        <w:rPr>
          <w:rtl w:val="0"/>
        </w:rPr>
      </w:r>
    </w:p>
    <w:p w:rsidR="00000000" w:rsidDel="00000000" w:rsidP="00000000" w:rsidRDefault="00000000" w:rsidRPr="00000000" w14:paraId="000000FA">
      <w:pPr>
        <w:numPr>
          <w:ilvl w:val="0"/>
          <w:numId w:val="5"/>
        </w:numPr>
        <w:spacing w:after="200" w:before="0" w:lineRule="auto"/>
        <w:ind w:left="720" w:hanging="360"/>
        <w:rPr>
          <w:u w:val="none"/>
        </w:rPr>
      </w:pPr>
      <w:r w:rsidDel="00000000" w:rsidR="00000000" w:rsidRPr="00000000">
        <w:rPr>
          <w:rtl w:val="0"/>
        </w:rPr>
        <w:t xml:space="preserve">Predicción de movimiento de un índice a partir de información geopolítica sin depender de un historial de precios.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numPr>
          <w:ilvl w:val="0"/>
          <w:numId w:val="7"/>
        </w:numPr>
        <w:ind w:left="360" w:hanging="360"/>
        <w:rPr>
          <w:smallCaps w:val="0"/>
        </w:rPr>
      </w:pPr>
      <w:bookmarkStart w:colFirst="0" w:colLast="0" w:name="_heading=h.s8p9lmkaxay4" w:id="28"/>
      <w:bookmarkEnd w:id="28"/>
      <w:r w:rsidDel="00000000" w:rsidR="00000000" w:rsidRPr="00000000">
        <w:rPr>
          <w:smallCaps w:val="0"/>
          <w:rtl w:val="0"/>
        </w:rPr>
        <w:t xml:space="preserve">Objetivos concretos y metodología de trabajo</w:t>
      </w:r>
    </w:p>
    <w:p w:rsidR="00000000" w:rsidDel="00000000" w:rsidP="00000000" w:rsidRDefault="00000000" w:rsidRPr="00000000" w14:paraId="000000FF">
      <w:pPr>
        <w:pStyle w:val="Heading2"/>
        <w:numPr>
          <w:ilvl w:val="1"/>
          <w:numId w:val="7"/>
        </w:numPr>
        <w:ind w:left="716" w:hanging="432"/>
        <w:rPr>
          <w:smallCaps w:val="0"/>
        </w:rPr>
      </w:pPr>
      <w:bookmarkStart w:colFirst="0" w:colLast="0" w:name="_heading=h.3sm6cwprt2oj" w:id="29"/>
      <w:bookmarkEnd w:id="29"/>
      <w:r w:rsidDel="00000000" w:rsidR="00000000" w:rsidRPr="00000000">
        <w:rPr>
          <w:smallCaps w:val="0"/>
          <w:rtl w:val="0"/>
        </w:rPr>
        <w:t xml:space="preserve">Objetivo general</w:t>
      </w:r>
    </w:p>
    <w:p w:rsidR="00000000" w:rsidDel="00000000" w:rsidP="00000000" w:rsidRDefault="00000000" w:rsidRPr="00000000" w14:paraId="00000100">
      <w:pPr>
        <w:spacing w:after="200" w:before="0" w:lineRule="auto"/>
        <w:rPr/>
      </w:pPr>
      <w:r w:rsidDel="00000000" w:rsidR="00000000" w:rsidRPr="00000000">
        <w:rPr>
          <w:rtl w:val="0"/>
        </w:rPr>
        <w:t xml:space="preserve">Diseñar, implementar y evaluar un modelo de predicción de la dirección del S&amp;P 500 basado en redes neuronales de grafos que integre datos de eventos geopolíticos extraídos de GDELT con indicadores del mercado bursátil.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numPr>
          <w:ilvl w:val="1"/>
          <w:numId w:val="7"/>
        </w:numPr>
        <w:ind w:left="716" w:hanging="432"/>
        <w:rPr>
          <w:smallCaps w:val="0"/>
        </w:rPr>
      </w:pPr>
      <w:bookmarkStart w:colFirst="0" w:colLast="0" w:name="_heading=h.egxfeagrvyir" w:id="30"/>
      <w:bookmarkEnd w:id="30"/>
      <w:r w:rsidDel="00000000" w:rsidR="00000000" w:rsidRPr="00000000">
        <w:rPr>
          <w:smallCaps w:val="0"/>
          <w:rtl w:val="0"/>
        </w:rPr>
        <w:t xml:space="preserve">Objetivos específicos</w:t>
      </w:r>
    </w:p>
    <w:p w:rsidR="00000000" w:rsidDel="00000000" w:rsidP="00000000" w:rsidRDefault="00000000" w:rsidRPr="00000000" w14:paraId="00000103">
      <w:pPr>
        <w:numPr>
          <w:ilvl w:val="0"/>
          <w:numId w:val="9"/>
        </w:numPr>
        <w:spacing w:after="200" w:before="0" w:lineRule="auto"/>
        <w:ind w:left="720" w:hanging="360"/>
        <w:rPr>
          <w:rFonts w:ascii="Calibri" w:cs="Calibri" w:eastAsia="Calibri" w:hAnsi="Calibri"/>
        </w:rPr>
      </w:pPr>
      <w:r w:rsidDel="00000000" w:rsidR="00000000" w:rsidRPr="00000000">
        <w:rPr>
          <w:rtl w:val="0"/>
        </w:rPr>
        <w:t xml:space="preserve">Definir y seleccionar un conjunto de periodos históricos geopolíticamente relevantes dentro de GDELT que permitan construir un dataset representativo y manejable para el entrenamiento del modelo.</w:t>
      </w:r>
      <w:r w:rsidDel="00000000" w:rsidR="00000000" w:rsidRPr="00000000">
        <w:rPr>
          <w:rtl w:val="0"/>
        </w:rPr>
      </w:r>
    </w:p>
    <w:p w:rsidR="00000000" w:rsidDel="00000000" w:rsidP="00000000" w:rsidRDefault="00000000" w:rsidRPr="00000000" w14:paraId="00000104">
      <w:pPr>
        <w:numPr>
          <w:ilvl w:val="0"/>
          <w:numId w:val="9"/>
        </w:numPr>
        <w:spacing w:after="200" w:before="0" w:lineRule="auto"/>
        <w:ind w:left="720" w:hanging="360"/>
        <w:rPr>
          <w:rFonts w:ascii="Calibri" w:cs="Calibri" w:eastAsia="Calibri" w:hAnsi="Calibri"/>
        </w:rPr>
      </w:pPr>
      <w:r w:rsidDel="00000000" w:rsidR="00000000" w:rsidRPr="00000000">
        <w:rPr>
          <w:rtl w:val="0"/>
        </w:rPr>
        <w:t xml:space="preserve">Diseñar la representación en grafo de las relaciones entre actores geopolíticos, definiendo nodos, aristas y atributos, y validando el resultado mediante una revisión manual de una muestra representativa. </w:t>
      </w:r>
      <w:r w:rsidDel="00000000" w:rsidR="00000000" w:rsidRPr="00000000">
        <w:rPr>
          <w:rtl w:val="0"/>
        </w:rPr>
      </w:r>
    </w:p>
    <w:p w:rsidR="00000000" w:rsidDel="00000000" w:rsidP="00000000" w:rsidRDefault="00000000" w:rsidRPr="00000000" w14:paraId="00000105">
      <w:pPr>
        <w:numPr>
          <w:ilvl w:val="0"/>
          <w:numId w:val="9"/>
        </w:numPr>
        <w:spacing w:after="200" w:before="0" w:lineRule="auto"/>
        <w:ind w:left="720" w:hanging="360"/>
        <w:rPr>
          <w:rFonts w:ascii="Calibri" w:cs="Calibri" w:eastAsia="Calibri" w:hAnsi="Calibri"/>
        </w:rPr>
      </w:pPr>
      <w:r w:rsidDel="00000000" w:rsidR="00000000" w:rsidRPr="00000000">
        <w:rPr>
          <w:rtl w:val="0"/>
        </w:rPr>
        <w:t xml:space="preserve">Automatizar la predicción diaria del modelo, verificando que sea capaz de generar una señal de inversión antes de la apertura de cada sesión bursátil. </w:t>
      </w:r>
      <w:r w:rsidDel="00000000" w:rsidR="00000000" w:rsidRPr="00000000">
        <w:rPr>
          <w:rtl w:val="0"/>
        </w:rPr>
      </w:r>
    </w:p>
    <w:p w:rsidR="00000000" w:rsidDel="00000000" w:rsidP="00000000" w:rsidRDefault="00000000" w:rsidRPr="00000000" w14:paraId="00000106">
      <w:pPr>
        <w:numPr>
          <w:ilvl w:val="0"/>
          <w:numId w:val="9"/>
        </w:numPr>
        <w:spacing w:after="200" w:before="0" w:lineRule="auto"/>
        <w:ind w:left="720" w:hanging="360"/>
        <w:rPr>
          <w:rFonts w:ascii="Calibri" w:cs="Calibri" w:eastAsia="Calibri" w:hAnsi="Calibri"/>
        </w:rPr>
      </w:pPr>
      <w:r w:rsidDel="00000000" w:rsidR="00000000" w:rsidRPr="00000000">
        <w:rPr>
          <w:rtl w:val="0"/>
        </w:rPr>
        <w:t xml:space="preserve">Implementar la integración de la GNN con los datos históricos del S&amp;P 500 para la predicción triclase, alcanzando un F1-score superior al de un modelo de referencia sin información geopolítica.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numPr>
          <w:ilvl w:val="1"/>
          <w:numId w:val="7"/>
        </w:numPr>
        <w:ind w:left="716" w:hanging="432"/>
        <w:rPr>
          <w:smallCaps w:val="0"/>
        </w:rPr>
      </w:pPr>
      <w:bookmarkStart w:colFirst="0" w:colLast="0" w:name="_heading=h.8dtq1t8muyyw" w:id="31"/>
      <w:bookmarkEnd w:id="31"/>
      <w:r w:rsidDel="00000000" w:rsidR="00000000" w:rsidRPr="00000000">
        <w:rPr>
          <w:smallCaps w:val="0"/>
          <w:rtl w:val="0"/>
        </w:rPr>
        <w:t xml:space="preserve">Metodología del trabajo</w:t>
      </w:r>
    </w:p>
    <w:p w:rsidR="00000000" w:rsidDel="00000000" w:rsidP="00000000" w:rsidRDefault="00000000" w:rsidRPr="00000000" w14:paraId="00000109">
      <w:pPr>
        <w:ind w:left="0" w:firstLine="0"/>
        <w:rPr/>
      </w:pPr>
      <w:r w:rsidDel="00000000" w:rsidR="00000000" w:rsidRPr="00000000">
        <w:rPr>
          <w:rtl w:val="0"/>
        </w:rPr>
        <w:t xml:space="preserve">Para llevar a cabo la consecución de los objetivos planteados, se han establecido una serie de fases que estructuran el desarrollo del trabajo: </w:t>
      </w:r>
    </w:p>
    <w:p w:rsidR="00000000" w:rsidDel="00000000" w:rsidP="00000000" w:rsidRDefault="00000000" w:rsidRPr="00000000" w14:paraId="0000010A">
      <w:pPr>
        <w:spacing w:after="200" w:before="0" w:lineRule="auto"/>
        <w:ind w:left="360" w:firstLine="0"/>
        <w:rPr/>
      </w:pPr>
      <w:r w:rsidDel="00000000" w:rsidR="00000000" w:rsidRPr="00000000">
        <w:rPr>
          <w:b w:val="1"/>
          <w:bCs w:val="1"/>
          <w:rtl w:val="0"/>
        </w:rPr>
        <w:t xml:space="preserve">Fase 1. Construcción del dataset geopolítico:</w:t>
      </w:r>
      <w:r w:rsidDel="00000000" w:rsidR="00000000" w:rsidRPr="00000000">
        <w:rPr>
          <w:rtl w:val="0"/>
        </w:rPr>
        <w:t xml:space="preserve"> Selección de periodos históricos relevantes dentro de GDELT, extracción de datos y preprocesamiento.</w:t>
      </w:r>
    </w:p>
    <w:p w:rsidR="00000000" w:rsidDel="00000000" w:rsidP="00000000" w:rsidRDefault="00000000" w:rsidRPr="00000000" w14:paraId="0000010B">
      <w:pPr>
        <w:spacing w:after="200" w:before="0" w:lineRule="auto"/>
        <w:ind w:left="360" w:firstLine="0"/>
        <w:rPr/>
      </w:pPr>
      <w:r w:rsidDel="00000000" w:rsidR="00000000" w:rsidRPr="00000000">
        <w:rPr>
          <w:b w:val="1"/>
          <w:bCs w:val="1"/>
          <w:rtl w:val="0"/>
        </w:rPr>
        <w:t xml:space="preserve">Fase 2. Construcción del dataset financiero:</w:t>
      </w:r>
      <w:r w:rsidDel="00000000" w:rsidR="00000000" w:rsidRPr="00000000">
        <w:rPr>
          <w:rtl w:val="0"/>
        </w:rPr>
        <w:t xml:space="preserve"> Obtención de datos históricos del S&amp;P 500 para los mismos periodos seleccionados en la fase anterior. Definición de la variable objetivo: clasificación triclase (subida, bajada, neutralidad) del índice para la siguiente sesión.</w:t>
      </w:r>
    </w:p>
    <w:p w:rsidR="00000000" w:rsidDel="00000000" w:rsidP="00000000" w:rsidRDefault="00000000" w:rsidRPr="00000000" w14:paraId="0000010C">
      <w:pPr>
        <w:spacing w:after="200" w:before="0" w:lineRule="auto"/>
        <w:ind w:left="360" w:firstLine="0"/>
        <w:rPr/>
      </w:pPr>
      <w:r w:rsidDel="00000000" w:rsidR="00000000" w:rsidRPr="00000000">
        <w:rPr>
          <w:b w:val="1"/>
          <w:bCs w:val="1"/>
          <w:rtl w:val="0"/>
        </w:rPr>
        <w:t xml:space="preserve">Fase 3. Diseño y construcción del grafo geopolítico:</w:t>
      </w:r>
      <w:r w:rsidDel="00000000" w:rsidR="00000000" w:rsidRPr="00000000">
        <w:rPr>
          <w:rtl w:val="0"/>
        </w:rPr>
        <w:t xml:space="preserve"> Definición de qué entidades constituyen los nodos, qué eventos forman las aristas y qué atributos de GDELT se asignan como características. Generación de snapshots diarios del grafo.</w:t>
      </w:r>
    </w:p>
    <w:p w:rsidR="00000000" w:rsidDel="00000000" w:rsidP="00000000" w:rsidRDefault="00000000" w:rsidRPr="00000000" w14:paraId="0000010D">
      <w:pPr>
        <w:spacing w:after="200" w:before="0" w:lineRule="auto"/>
        <w:ind w:left="360" w:firstLine="0"/>
        <w:rPr/>
      </w:pPr>
      <w:r w:rsidDel="00000000" w:rsidR="00000000" w:rsidRPr="00000000">
        <w:rPr>
          <w:b w:val="1"/>
          <w:bCs w:val="1"/>
          <w:rtl w:val="0"/>
        </w:rPr>
        <w:t xml:space="preserve">Fase 4. Diseño e implementación del modelo: </w:t>
      </w:r>
      <w:r w:rsidDel="00000000" w:rsidR="00000000" w:rsidRPr="00000000">
        <w:rPr>
          <w:rtl w:val="0"/>
        </w:rPr>
        <w:t xml:space="preserve">Evaluación de diferentes arquitecturas de GNN y diseño del mecanismo de fusión entre la información geopolítica del grafo y la información financiera del S&amp;P 500.</w:t>
      </w:r>
    </w:p>
    <w:p w:rsidR="00000000" w:rsidDel="00000000" w:rsidP="00000000" w:rsidRDefault="00000000" w:rsidRPr="00000000" w14:paraId="0000010E">
      <w:pPr>
        <w:spacing w:after="200" w:before="0" w:lineRule="auto"/>
        <w:ind w:left="360" w:firstLine="0"/>
        <w:rPr/>
      </w:pPr>
      <w:r w:rsidDel="00000000" w:rsidR="00000000" w:rsidRPr="00000000">
        <w:rPr>
          <w:b w:val="1"/>
          <w:bCs w:val="1"/>
          <w:rtl w:val="0"/>
        </w:rPr>
        <w:t xml:space="preserve">Fase 5. Entrenamiento y evaluación: </w:t>
      </w:r>
      <w:r w:rsidDel="00000000" w:rsidR="00000000" w:rsidRPr="00000000">
        <w:rPr>
          <w:rtl w:val="0"/>
        </w:rPr>
        <w:t xml:space="preserve">Entrenamiento con los datos históricos seleccionados y evaluación del rendimiento mediante métricas de clasificación como accuracy, F1-score, precisión y recall.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numPr>
          <w:ilvl w:val="0"/>
          <w:numId w:val="7"/>
        </w:numPr>
        <w:ind w:left="360" w:hanging="360"/>
        <w:rPr/>
      </w:pPr>
      <w:bookmarkStart w:colFirst="0" w:colLast="0" w:name="_heading=h.l2yquxrldtpb" w:id="32"/>
      <w:bookmarkEnd w:id="32"/>
      <w:r w:rsidDel="00000000" w:rsidR="00000000" w:rsidRPr="00000000">
        <w:rPr>
          <w:smallCaps w:val="0"/>
          <w:rtl w:val="0"/>
        </w:rPr>
        <w:t xml:space="preserve">Descripción detallada del experimento</w:t>
      </w:r>
    </w:p>
    <w:p w:rsidR="00000000" w:rsidDel="00000000" w:rsidP="00000000" w:rsidRDefault="00000000" w:rsidRPr="00000000" w14:paraId="00000112">
      <w:pPr>
        <w:ind w:left="0" w:firstLine="0"/>
        <w:rPr/>
      </w:pPr>
      <w:r w:rsidDel="00000000" w:rsidR="00000000" w:rsidRPr="00000000">
        <w:rPr>
          <w:rtl w:val="0"/>
        </w:rPr>
        <w:t xml:space="preserve">Una vez fijados los objetivos y la metodología del capítulo anterior, este capítulo describe cómo se ha realizado el experimento. Desde la recogida y limpieza de datos, hasta un modelo capaz de descubrir antes de la apertura del mercado estadounidense, si el índice va a subir, bajar o permanecer neutro. Para ello se va a construir un grafo heterogéneo que integra la señal geopolítica y la información del mercado que le permite tomar decisiones a corto plazo. </w:t>
      </w:r>
      <w:r w:rsidDel="00000000" w:rsidR="00000000" w:rsidRPr="00000000">
        <w:rPr>
          <w:rtl w:val="0"/>
        </w:rPr>
      </w:r>
    </w:p>
    <w:p w:rsidR="00000000" w:rsidDel="00000000" w:rsidP="00000000" w:rsidRDefault="00000000" w:rsidRPr="00000000" w14:paraId="00000113">
      <w:pPr>
        <w:pStyle w:val="Heading2"/>
        <w:ind w:left="0" w:firstLine="0"/>
        <w:rPr>
          <w:smallCaps w:val="0"/>
        </w:rPr>
      </w:pPr>
      <w:bookmarkStart w:colFirst="0" w:colLast="0" w:name="_heading=h.jy6gzojlt17l" w:id="33"/>
      <w:bookmarkEnd w:id="33"/>
      <w:r w:rsidDel="00000000" w:rsidR="00000000" w:rsidRPr="00000000">
        <w:rPr>
          <w:smallCaps w:val="0"/>
          <w:rtl w:val="0"/>
        </w:rPr>
        <w:t xml:space="preserve">4.1 Filtrado de datos</w:t>
      </w:r>
    </w:p>
    <w:p w:rsidR="00000000" w:rsidDel="00000000" w:rsidP="00000000" w:rsidRDefault="00000000" w:rsidRPr="00000000" w14:paraId="00000114">
      <w:pPr>
        <w:rPr/>
      </w:pPr>
      <w:r w:rsidDel="00000000" w:rsidR="00000000" w:rsidRPr="00000000">
        <w:rPr>
          <w:rtl w:val="0"/>
        </w:rPr>
        <w:t xml:space="preserve">La fuente de datos que se ha escogido para hacer el proyecto es GDELT 1.0 Events. La elección se ha tomado tras descartar su versión 2.0 y GKG. La decisión se sustenta en tres aspectos: </w:t>
      </w:r>
    </w:p>
    <w:p w:rsidR="00000000" w:rsidDel="00000000" w:rsidP="00000000" w:rsidRDefault="00000000" w:rsidRPr="00000000" w14:paraId="00000115">
      <w:pPr>
        <w:numPr>
          <w:ilvl w:val="0"/>
          <w:numId w:val="18"/>
        </w:numPr>
        <w:spacing w:after="0" w:lineRule="auto"/>
        <w:ind w:left="720" w:hanging="360"/>
        <w:rPr>
          <w:u w:val="none"/>
        </w:rPr>
      </w:pPr>
      <w:r w:rsidDel="00000000" w:rsidR="00000000" w:rsidRPr="00000000">
        <w:rPr>
          <w:rtl w:val="0"/>
        </w:rPr>
        <w:t xml:space="preserve">La cadencia diaria de noticias de 1.0 es cada día, mientras que la de 2.0 es cada 15 minutos, haciendo que sea más complejo el recoger la información de la misma. </w:t>
      </w:r>
      <w:r w:rsidDel="00000000" w:rsidR="00000000" w:rsidRPr="00000000">
        <w:rPr>
          <w:rtl w:val="0"/>
        </w:rPr>
      </w:r>
    </w:p>
    <w:p w:rsidR="00000000" w:rsidDel="00000000" w:rsidP="00000000" w:rsidRDefault="00000000" w:rsidRPr="00000000" w14:paraId="00000116">
      <w:pPr>
        <w:numPr>
          <w:ilvl w:val="0"/>
          <w:numId w:val="18"/>
        </w:numPr>
        <w:spacing w:before="0" w:lineRule="auto"/>
        <w:ind w:left="720" w:hanging="360"/>
        <w:rPr>
          <w:u w:val="none"/>
        </w:rPr>
      </w:pPr>
      <w:r w:rsidDel="00000000" w:rsidR="00000000" w:rsidRPr="00000000">
        <w:rPr>
          <w:rtl w:val="0"/>
        </w:rPr>
        <w:t xml:space="preserve">GKG y 2.0 tienen noticias desde el 2013 y 2015, mientras que su versión 1.0 tiene más de 20 años de noticias. </w:t>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t xml:space="preserve">Cada fichero diario en formato csv  consta de un volumen aproximado de 100000 a 300000 eventos diarios. </w:t>
      </w:r>
    </w:p>
    <w:p w:rsidR="00000000" w:rsidDel="00000000" w:rsidP="00000000" w:rsidRDefault="00000000" w:rsidRPr="00000000" w14:paraId="00000118">
      <w:pPr>
        <w:ind w:left="0" w:firstLine="0"/>
        <w:rPr/>
      </w:pPr>
      <w:r w:rsidDel="00000000" w:rsidR="00000000" w:rsidRPr="00000000">
        <w:rPr>
          <w:rtl w:val="0"/>
        </w:rPr>
        <w:t xml:space="preserve">Para fechas anteriores al 1 de abril de 2013, empaqueta los CSV en ficheros mensuales y cuando llega al 2005 són anuales. </w:t>
      </w:r>
    </w:p>
    <w:p w:rsidR="00000000" w:rsidDel="00000000" w:rsidP="00000000" w:rsidRDefault="00000000" w:rsidRPr="00000000" w14:paraId="00000119">
      <w:pPr>
        <w:rPr/>
      </w:pPr>
      <w:r w:rsidDel="00000000" w:rsidR="00000000" w:rsidRPr="00000000">
        <w:rPr>
          <w:rtl w:val="0"/>
        </w:rPr>
        <w:t xml:space="preserve">GDELT 1.0 define un esquema fijo de 58 columnas sin cabecera. Para que lo cargue con tipos correctos, se reproduce la lista de nombres y se identifican las siguientes columnas numéricas:</w:t>
      </w:r>
    </w:p>
    <w:p w:rsidR="00000000" w:rsidDel="00000000" w:rsidP="00000000" w:rsidRDefault="00000000" w:rsidRPr="00000000" w14:paraId="0000011A">
      <w:pPr>
        <w:numPr>
          <w:ilvl w:val="0"/>
          <w:numId w:val="2"/>
        </w:numPr>
        <w:spacing w:after="0" w:afterAutospacing="0"/>
        <w:ind w:left="720" w:hanging="360"/>
        <w:rPr/>
      </w:pPr>
      <w:r w:rsidDel="00000000" w:rsidR="00000000" w:rsidRPr="00000000">
        <w:rPr>
          <w:rFonts w:ascii="Courier New" w:cs="Courier New" w:eastAsia="Courier New" w:hAnsi="Courier New"/>
          <w:rtl w:val="0"/>
        </w:rPr>
        <w:t xml:space="preserve">GoldsteinScale</w:t>
      </w:r>
      <w:r w:rsidDel="00000000" w:rsidR="00000000" w:rsidRPr="00000000">
        <w:rPr>
          <w:rtl w:val="0"/>
        </w:rPr>
        <w:t xml:space="preserve">: Puntuacioón del posible impacto de un evento sobre la estabilidad de un país. Es una escala fija de -10 (máximo conflicto) a +10 (máximo beneficio). </w:t>
      </w:r>
    </w:p>
    <w:p w:rsidR="00000000" w:rsidDel="00000000" w:rsidP="00000000" w:rsidRDefault="00000000" w:rsidRPr="00000000" w14:paraId="0000011B">
      <w:pPr>
        <w:numPr>
          <w:ilvl w:val="0"/>
          <w:numId w:val="2"/>
        </w:numPr>
        <w:spacing w:after="0" w:afterAutospacing="0" w:before="0" w:beforeAutospacing="0"/>
        <w:ind w:left="720" w:hanging="360"/>
        <w:rPr/>
      </w:pPr>
      <w:r w:rsidDel="00000000" w:rsidR="00000000" w:rsidRPr="00000000">
        <w:rPr>
          <w:rFonts w:ascii="Courier New" w:cs="Courier New" w:eastAsia="Courier New" w:hAnsi="Courier New"/>
          <w:rtl w:val="0"/>
        </w:rPr>
        <w:t xml:space="preserve">NumMentions</w:t>
      </w:r>
      <w:r w:rsidDel="00000000" w:rsidR="00000000" w:rsidRPr="00000000">
        <w:rPr>
          <w:rtl w:val="0"/>
        </w:rPr>
        <w:t xml:space="preserve">: Veces que se nombra el evento durante el día. </w:t>
      </w:r>
    </w:p>
    <w:p w:rsidR="00000000" w:rsidDel="00000000" w:rsidP="00000000" w:rsidRDefault="00000000" w:rsidRPr="00000000" w14:paraId="0000011C">
      <w:pPr>
        <w:numPr>
          <w:ilvl w:val="0"/>
          <w:numId w:val="2"/>
        </w:numPr>
        <w:spacing w:after="0" w:afterAutospacing="0" w:before="0" w:beforeAutospacing="0"/>
        <w:ind w:left="720" w:hanging="360"/>
        <w:rPr/>
      </w:pPr>
      <w:r w:rsidDel="00000000" w:rsidR="00000000" w:rsidRPr="00000000">
        <w:rPr>
          <w:rFonts w:ascii="Courier New" w:cs="Courier New" w:eastAsia="Courier New" w:hAnsi="Courier New"/>
          <w:rtl w:val="0"/>
        </w:rPr>
        <w:t xml:space="preserve">NumSources</w:t>
      </w:r>
      <w:r w:rsidDel="00000000" w:rsidR="00000000" w:rsidRPr="00000000">
        <w:rPr>
          <w:rtl w:val="0"/>
        </w:rPr>
        <w:t xml:space="preserve">: Número de fuentes de información distinta que informan del evento. </w:t>
      </w:r>
    </w:p>
    <w:p w:rsidR="00000000" w:rsidDel="00000000" w:rsidP="00000000" w:rsidRDefault="00000000" w:rsidRPr="00000000" w14:paraId="0000011D">
      <w:pPr>
        <w:numPr>
          <w:ilvl w:val="0"/>
          <w:numId w:val="2"/>
        </w:numPr>
        <w:spacing w:after="0" w:afterAutospacing="0" w:before="0" w:beforeAutospacing="0"/>
        <w:ind w:left="720" w:hanging="360"/>
        <w:rPr/>
      </w:pPr>
      <w:r w:rsidDel="00000000" w:rsidR="00000000" w:rsidRPr="00000000">
        <w:rPr>
          <w:rFonts w:ascii="Courier New" w:cs="Courier New" w:eastAsia="Courier New" w:hAnsi="Courier New"/>
          <w:rtl w:val="0"/>
        </w:rPr>
        <w:t xml:space="preserve">NumArticles</w:t>
      </w:r>
      <w:r w:rsidDel="00000000" w:rsidR="00000000" w:rsidRPr="00000000">
        <w:rPr>
          <w:rtl w:val="0"/>
        </w:rPr>
        <w:t xml:space="preserve">: Número de artículos distintos que han nombrado la notícia. </w:t>
      </w:r>
    </w:p>
    <w:p w:rsidR="00000000" w:rsidDel="00000000" w:rsidP="00000000" w:rsidRDefault="00000000" w:rsidRPr="00000000" w14:paraId="0000011E">
      <w:pPr>
        <w:numPr>
          <w:ilvl w:val="0"/>
          <w:numId w:val="2"/>
        </w:numPr>
        <w:spacing w:before="0" w:beforeAutospacing="0"/>
        <w:ind w:left="720" w:hanging="360"/>
        <w:rPr/>
      </w:pPr>
      <w:r w:rsidDel="00000000" w:rsidR="00000000" w:rsidRPr="00000000">
        <w:rPr>
          <w:rFonts w:ascii="Courier New" w:cs="Courier New" w:eastAsia="Courier New" w:hAnsi="Courier New"/>
          <w:rtl w:val="0"/>
        </w:rPr>
        <w:t xml:space="preserve">AvgTone</w:t>
      </w:r>
      <w:r w:rsidDel="00000000" w:rsidR="00000000" w:rsidRPr="00000000">
        <w:rPr>
          <w:rtl w:val="0"/>
        </w:rPr>
        <w:t xml:space="preserve">: Tono medio de los documentos que mencionan el evento. </w:t>
      </w:r>
    </w:p>
    <w:p w:rsidR="00000000" w:rsidDel="00000000" w:rsidP="00000000" w:rsidRDefault="00000000" w:rsidRPr="00000000" w14:paraId="0000011F">
      <w:pPr>
        <w:rPr/>
      </w:pPr>
      <w:r w:rsidDel="00000000" w:rsidR="00000000" w:rsidRPr="00000000">
        <w:rPr>
          <w:rtl w:val="0"/>
        </w:rPr>
        <w:t xml:space="preserve">El resto se conserva como cadena para mantener compatibilidad con los códigos CAMEO (Conflict and Mediation Event Observations) y FIPS (Federal Information Processing Standards), que aunque sean numéricos en apariencia (01,02...) deben tratarse como categóricos.</w:t>
      </w:r>
    </w:p>
    <w:p w:rsidR="00000000" w:rsidDel="00000000" w:rsidP="00000000" w:rsidRDefault="00000000" w:rsidRPr="00000000" w14:paraId="00000120">
      <w:pPr>
        <w:rPr/>
      </w:pPr>
      <w:r w:rsidDel="00000000" w:rsidR="00000000" w:rsidRPr="00000000">
        <w:rPr>
          <w:rtl w:val="0"/>
        </w:rPr>
        <w:t xml:space="preserve">GDELT codifica los eventos mediante el sistema CAMEO , que define tres niveles de granularidad:</w:t>
      </w:r>
    </w:p>
    <w:p w:rsidR="00000000" w:rsidDel="00000000" w:rsidP="00000000" w:rsidRDefault="00000000" w:rsidRPr="00000000" w14:paraId="00000121">
      <w:pPr>
        <w:numPr>
          <w:ilvl w:val="0"/>
          <w:numId w:val="15"/>
        </w:numPr>
        <w:spacing w:after="0" w:lineRule="auto"/>
        <w:ind w:left="720" w:hanging="360"/>
        <w:rPr>
          <w:u w:val="none"/>
        </w:rPr>
      </w:pPr>
      <w:r w:rsidDel="00000000" w:rsidR="00000000" w:rsidRPr="00000000">
        <w:rPr>
          <w:rFonts w:ascii="Courier New" w:cs="Courier New" w:eastAsia="Courier New" w:hAnsi="Courier New"/>
          <w:rtl w:val="0"/>
        </w:rPr>
        <w:t xml:space="preserve">EventRootCode</w:t>
      </w:r>
      <w:r w:rsidDel="00000000" w:rsidR="00000000" w:rsidRPr="00000000">
        <w:rPr>
          <w:b w:val="1"/>
          <w:bCs w:val="1"/>
          <w:rtl w:val="0"/>
        </w:rPr>
        <w:t xml:space="preserve">:</w:t>
      </w:r>
      <w:r w:rsidDel="00000000" w:rsidR="00000000" w:rsidRPr="00000000">
        <w:rPr>
          <w:rtl w:val="0"/>
        </w:rPr>
        <w:t xml:space="preserve"> grandes categorías de comportamiento, ordenadas de máxima cooperación a máximo conflicto.</w:t>
      </w:r>
      <w:r w:rsidDel="00000000" w:rsidR="00000000" w:rsidRPr="00000000">
        <w:rPr>
          <w:rtl w:val="0"/>
        </w:rPr>
      </w:r>
    </w:p>
    <w:p w:rsidR="00000000" w:rsidDel="00000000" w:rsidP="00000000" w:rsidRDefault="00000000" w:rsidRPr="00000000" w14:paraId="00000122">
      <w:pPr>
        <w:numPr>
          <w:ilvl w:val="0"/>
          <w:numId w:val="15"/>
        </w:numPr>
        <w:spacing w:after="0" w:before="0" w:lineRule="auto"/>
        <w:ind w:left="720" w:hanging="360"/>
        <w:rPr>
          <w:u w:val="none"/>
        </w:rPr>
      </w:pPr>
      <w:r w:rsidDel="00000000" w:rsidR="00000000" w:rsidRPr="00000000">
        <w:rPr>
          <w:rFonts w:ascii="Courier New" w:cs="Courier New" w:eastAsia="Courier New" w:hAnsi="Courier New"/>
          <w:rtl w:val="0"/>
        </w:rPr>
        <w:t xml:space="preserve">EventBaseCode</w:t>
      </w:r>
      <w:r w:rsidDel="00000000" w:rsidR="00000000" w:rsidRPr="00000000">
        <w:rPr>
          <w:b w:val="1"/>
          <w:bCs w:val="1"/>
          <w:rtl w:val="0"/>
        </w:rPr>
        <w:t xml:space="preserve">:</w:t>
      </w:r>
      <w:r w:rsidDel="00000000" w:rsidR="00000000" w:rsidRPr="00000000">
        <w:rPr>
          <w:rtl w:val="0"/>
        </w:rPr>
        <w:t xml:space="preserve"> subdivide cada raíz en subtipos.</w:t>
      </w:r>
      <w:r w:rsidDel="00000000" w:rsidR="00000000" w:rsidRPr="00000000">
        <w:rPr>
          <w:rtl w:val="0"/>
        </w:rPr>
      </w:r>
    </w:p>
    <w:p w:rsidR="00000000" w:rsidDel="00000000" w:rsidP="00000000" w:rsidRDefault="00000000" w:rsidRPr="00000000" w14:paraId="00000123">
      <w:pPr>
        <w:numPr>
          <w:ilvl w:val="0"/>
          <w:numId w:val="15"/>
        </w:numPr>
        <w:spacing w:before="0" w:lineRule="auto"/>
        <w:ind w:left="720" w:hanging="360"/>
        <w:rPr>
          <w:u w:val="none"/>
        </w:rPr>
      </w:pPr>
      <w:r w:rsidDel="00000000" w:rsidR="00000000" w:rsidRPr="00000000">
        <w:rPr>
          <w:rFonts w:ascii="Courier New" w:cs="Courier New" w:eastAsia="Courier New" w:hAnsi="Courier New"/>
          <w:rtl w:val="0"/>
        </w:rPr>
        <w:t xml:space="preserve">EventCode</w:t>
      </w:r>
      <w:r w:rsidDel="00000000" w:rsidR="00000000" w:rsidRPr="00000000">
        <w:rPr>
          <w:b w:val="1"/>
          <w:bCs w:val="1"/>
          <w:rtl w:val="0"/>
        </w:rPr>
        <w:t xml:space="preserve">:</w:t>
      </w:r>
      <w:r w:rsidDel="00000000" w:rsidR="00000000" w:rsidRPr="00000000">
        <w:rPr>
          <w:rtl w:val="0"/>
        </w:rPr>
        <w:t xml:space="preserve"> detalle fino sobre el subtipo.</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Para el desarrollo del proceso de tratamiento de datos, se opta por trabajar con un único día de datos como muestra</w:t>
      </w:r>
    </w:p>
    <w:p w:rsidR="00000000" w:rsidDel="00000000" w:rsidP="00000000" w:rsidRDefault="00000000" w:rsidRPr="00000000" w14:paraId="00000125">
      <w:pPr>
        <w:rPr/>
      </w:pPr>
      <w:r w:rsidDel="00000000" w:rsidR="00000000" w:rsidRPr="00000000">
        <w:rPr>
          <w:rtl w:val="0"/>
        </w:rPr>
        <w:t xml:space="preserve">Es necesario realizar una limpieza inicial para intentar minimizar la cantidad de repetidos que hay. Por ejemplo, una noticia que se ha actualizado diariamente o varios medios de comunicación que han cubierto lo mismo. Para ello, lo primero que se realizará es una normalización de la URL, que es lo único que aporta información de los hechos que han ocurrido. Se tienen que cumplir las siguiente reglas:</w:t>
      </w:r>
    </w:p>
    <w:p w:rsidR="00000000" w:rsidDel="00000000" w:rsidP="00000000" w:rsidRDefault="00000000" w:rsidRPr="00000000" w14:paraId="00000126">
      <w:pPr>
        <w:numPr>
          <w:ilvl w:val="0"/>
          <w:numId w:val="19"/>
        </w:numPr>
        <w:spacing w:after="0" w:lineRule="auto"/>
        <w:ind w:left="720" w:hanging="360"/>
        <w:rPr>
          <w:u w:val="none"/>
        </w:rPr>
      </w:pPr>
      <w:r w:rsidDel="00000000" w:rsidR="00000000" w:rsidRPr="00000000">
        <w:rPr>
          <w:rtl w:val="0"/>
        </w:rPr>
        <w:t xml:space="preserve">Conversión a  minúsculas (</w:t>
      </w:r>
      <w:r w:rsidDel="00000000" w:rsidR="00000000" w:rsidRPr="00000000">
        <w:rPr>
          <w:i w:val="1"/>
          <w:iCs w:val="1"/>
          <w:rtl w:val="0"/>
        </w:rPr>
        <w:t xml:space="preserve">Example.com</w:t>
      </w:r>
      <w:r w:rsidDel="00000000" w:rsidR="00000000" w:rsidRPr="00000000">
        <w:rPr>
          <w:rtl w:val="0"/>
        </w:rPr>
        <w:t xml:space="preserve"> y </w:t>
      </w:r>
      <w:r w:rsidDel="00000000" w:rsidR="00000000" w:rsidRPr="00000000">
        <w:rPr>
          <w:i w:val="1"/>
          <w:iCs w:val="1"/>
          <w:rtl w:val="0"/>
        </w:rPr>
        <w:t xml:space="preserve">example.com</w:t>
      </w:r>
      <w:r w:rsidDel="00000000" w:rsidR="00000000" w:rsidRPr="00000000">
        <w:rPr>
          <w:rtl w:val="0"/>
        </w:rPr>
        <w:t xml:space="preserve"> apuntan al mismo recurso).</w:t>
      </w:r>
      <w:r w:rsidDel="00000000" w:rsidR="00000000" w:rsidRPr="00000000">
        <w:rPr>
          <w:rtl w:val="0"/>
        </w:rPr>
      </w:r>
    </w:p>
    <w:p w:rsidR="00000000" w:rsidDel="00000000" w:rsidP="00000000" w:rsidRDefault="00000000" w:rsidRPr="00000000" w14:paraId="00000127">
      <w:pPr>
        <w:numPr>
          <w:ilvl w:val="0"/>
          <w:numId w:val="19"/>
        </w:numPr>
        <w:spacing w:after="0" w:before="0" w:lineRule="auto"/>
        <w:ind w:left="720" w:hanging="360"/>
        <w:rPr>
          <w:u w:val="none"/>
        </w:rPr>
      </w:pPr>
      <w:r w:rsidDel="00000000" w:rsidR="00000000" w:rsidRPr="00000000">
        <w:rPr>
          <w:rtl w:val="0"/>
        </w:rPr>
        <w:t xml:space="preserve">Eliminación de los puertos por defecto :80 y :443.</w:t>
      </w:r>
      <w:r w:rsidDel="00000000" w:rsidR="00000000" w:rsidRPr="00000000">
        <w:rPr>
          <w:rtl w:val="0"/>
        </w:rPr>
      </w:r>
    </w:p>
    <w:p w:rsidR="00000000" w:rsidDel="00000000" w:rsidP="00000000" w:rsidRDefault="00000000" w:rsidRPr="00000000" w14:paraId="00000128">
      <w:pPr>
        <w:numPr>
          <w:ilvl w:val="0"/>
          <w:numId w:val="19"/>
        </w:numPr>
        <w:spacing w:after="0" w:before="0" w:lineRule="auto"/>
        <w:ind w:left="720" w:hanging="360"/>
        <w:rPr>
          <w:u w:val="none"/>
        </w:rPr>
      </w:pPr>
      <w:r w:rsidDel="00000000" w:rsidR="00000000" w:rsidRPr="00000000">
        <w:rPr>
          <w:rtl w:val="0"/>
        </w:rPr>
        <w:t xml:space="preserve">Eliminación de parámetros de traza(</w:t>
      </w:r>
      <w:r w:rsidDel="00000000" w:rsidR="00000000" w:rsidRPr="00000000">
        <w:rPr>
          <w:i w:val="1"/>
          <w:iCs w:val="1"/>
          <w:rtl w:val="0"/>
        </w:rPr>
        <w:t xml:space="preserve">?utm_source=..., ?ref=..</w:t>
      </w:r>
      <w:r w:rsidDel="00000000" w:rsidR="00000000" w:rsidRPr="00000000">
        <w:rPr>
          <w:rtl w:val="0"/>
        </w:rPr>
        <w:t xml:space="preserve">.), que no afectan al contenido.</w:t>
      </w:r>
      <w:r w:rsidDel="00000000" w:rsidR="00000000" w:rsidRPr="00000000">
        <w:rPr>
          <w:rtl w:val="0"/>
        </w:rPr>
      </w:r>
    </w:p>
    <w:p w:rsidR="00000000" w:rsidDel="00000000" w:rsidP="00000000" w:rsidRDefault="00000000" w:rsidRPr="00000000" w14:paraId="00000129">
      <w:pPr>
        <w:numPr>
          <w:ilvl w:val="0"/>
          <w:numId w:val="19"/>
        </w:numPr>
        <w:spacing w:after="0" w:before="0" w:lineRule="auto"/>
        <w:ind w:left="720" w:hanging="360"/>
        <w:rPr>
          <w:u w:val="none"/>
        </w:rPr>
      </w:pPr>
      <w:r w:rsidDel="00000000" w:rsidR="00000000" w:rsidRPr="00000000">
        <w:rPr>
          <w:rtl w:val="0"/>
        </w:rPr>
        <w:t xml:space="preserve">Eliminación de fragmentos (</w:t>
      </w:r>
      <w:r w:rsidDel="00000000" w:rsidR="00000000" w:rsidRPr="00000000">
        <w:rPr>
          <w:i w:val="1"/>
          <w:iCs w:val="1"/>
          <w:rtl w:val="0"/>
        </w:rPr>
        <w:t xml:space="preserve">#sectio</w:t>
      </w:r>
      <w:r w:rsidDel="00000000" w:rsidR="00000000" w:rsidRPr="00000000">
        <w:rPr>
          <w:rtl w:val="0"/>
        </w:rPr>
        <w:t xml:space="preserve">n), que tampoco modifican el recurso.</w:t>
      </w:r>
      <w:r w:rsidDel="00000000" w:rsidR="00000000" w:rsidRPr="00000000">
        <w:rPr>
          <w:rtl w:val="0"/>
        </w:rPr>
      </w:r>
    </w:p>
    <w:p w:rsidR="00000000" w:rsidDel="00000000" w:rsidP="00000000" w:rsidRDefault="00000000" w:rsidRPr="00000000" w14:paraId="0000012A">
      <w:pPr>
        <w:numPr>
          <w:ilvl w:val="0"/>
          <w:numId w:val="19"/>
        </w:numPr>
        <w:spacing w:before="0" w:lineRule="auto"/>
        <w:ind w:left="720" w:hanging="360"/>
        <w:rPr>
          <w:u w:val="none"/>
        </w:rPr>
      </w:pPr>
      <w:r w:rsidDel="00000000" w:rsidR="00000000" w:rsidRPr="00000000">
        <w:rPr>
          <w:rtl w:val="0"/>
        </w:rPr>
        <w:t xml:space="preserve">Supresión de la barra final de una URL, que señala que está apuntando a un directorio en lugar de un archivo. </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Los resultados son los siguientes:</w:t>
      </w:r>
    </w:p>
    <w:p w:rsidR="00000000" w:rsidDel="00000000" w:rsidP="00000000" w:rsidRDefault="00000000" w:rsidRPr="00000000" w14:paraId="0000012C">
      <w:pPr>
        <w:numPr>
          <w:ilvl w:val="0"/>
          <w:numId w:val="17"/>
        </w:numPr>
        <w:spacing w:after="0" w:before="0" w:lineRule="auto"/>
        <w:ind w:left="720" w:hanging="360"/>
        <w:rPr/>
      </w:pPr>
      <w:r w:rsidDel="00000000" w:rsidR="00000000" w:rsidRPr="00000000">
        <w:rPr>
          <w:rtl w:val="0"/>
        </w:rPr>
        <w:t xml:space="preserve">Filas antes: 118 201</w:t>
      </w:r>
    </w:p>
    <w:p w:rsidR="00000000" w:rsidDel="00000000" w:rsidP="00000000" w:rsidRDefault="00000000" w:rsidRPr="00000000" w14:paraId="0000012D">
      <w:pPr>
        <w:numPr>
          <w:ilvl w:val="0"/>
          <w:numId w:val="17"/>
        </w:numPr>
        <w:spacing w:after="0" w:before="0" w:lineRule="auto"/>
        <w:ind w:left="720" w:hanging="360"/>
        <w:rPr/>
      </w:pPr>
      <w:r w:rsidDel="00000000" w:rsidR="00000000" w:rsidRPr="00000000">
        <w:rPr>
          <w:rtl w:val="0"/>
        </w:rPr>
        <w:t xml:space="preserve">Descartadas por URL no interpretable: 0</w:t>
      </w:r>
    </w:p>
    <w:p w:rsidR="00000000" w:rsidDel="00000000" w:rsidP="00000000" w:rsidRDefault="00000000" w:rsidRPr="00000000" w14:paraId="0000012E">
      <w:pPr>
        <w:numPr>
          <w:ilvl w:val="0"/>
          <w:numId w:val="17"/>
        </w:numPr>
        <w:spacing w:after="0" w:before="0" w:lineRule="auto"/>
        <w:ind w:left="720" w:hanging="360"/>
        <w:rPr/>
      </w:pPr>
      <w:r w:rsidDel="00000000" w:rsidR="00000000" w:rsidRPr="00000000">
        <w:rPr>
          <w:rtl w:val="0"/>
        </w:rPr>
        <w:t xml:space="preserve">Filas tras normalización: 118 201</w:t>
      </w:r>
    </w:p>
    <w:p w:rsidR="00000000" w:rsidDel="00000000" w:rsidP="00000000" w:rsidRDefault="00000000" w:rsidRPr="00000000" w14:paraId="0000012F">
      <w:pPr>
        <w:numPr>
          <w:ilvl w:val="0"/>
          <w:numId w:val="17"/>
        </w:numPr>
        <w:spacing w:after="0" w:before="0" w:lineRule="auto"/>
        <w:ind w:left="720" w:hanging="360"/>
        <w:rPr/>
      </w:pPr>
      <w:r w:rsidDel="00000000" w:rsidR="00000000" w:rsidRPr="00000000">
        <w:rPr>
          <w:rtl w:val="0"/>
        </w:rPr>
        <w:t xml:space="preserve">URLs únicas: 24 412</w:t>
      </w:r>
    </w:p>
    <w:p w:rsidR="00000000" w:rsidDel="00000000" w:rsidP="00000000" w:rsidRDefault="00000000" w:rsidRPr="00000000" w14:paraId="00000130">
      <w:pPr>
        <w:rPr/>
      </w:pPr>
      <w:r w:rsidDel="00000000" w:rsidR="00000000" w:rsidRPr="00000000">
        <w:rPr>
          <w:rtl w:val="0"/>
        </w:rPr>
        <w:t xml:space="preserve">Es decir, cada artículo genera de media casi cinco filas en GDELT, y solo poco más de una cuarta parte aparece una única vez.</w:t>
      </w:r>
    </w:p>
    <w:p w:rsidR="00000000" w:rsidDel="00000000" w:rsidP="00000000" w:rsidRDefault="00000000" w:rsidRPr="00000000" w14:paraId="00000131">
      <w:pPr>
        <w:rPr/>
      </w:pPr>
      <w:r w:rsidDel="00000000" w:rsidR="00000000" w:rsidRPr="00000000">
        <w:rPr>
          <w:rtl w:val="0"/>
        </w:rPr>
        <w:t xml:space="preserve">Las URLs más utilizadas han sido las siguientes: </w:t>
      </w:r>
      <w:hyperlink r:id="rId12">
        <w:r w:rsidDel="00000000" w:rsidR="00000000" w:rsidRPr="00000000">
          <w:rPr>
            <w:color w:val="1155cc"/>
            <w:u w:val="single"/>
            <w:rtl w:val="0"/>
          </w:rPr>
          <w:t xml:space="preserve">https://targetednews.com/pr_disp.php</w:t>
        </w:r>
      </w:hyperlink>
      <w:r w:rsidDel="00000000" w:rsidR="00000000" w:rsidRPr="00000000">
        <w:rPr>
          <w:rtl w:val="0"/>
        </w:rPr>
        <w:t xml:space="preserve"> se ha repetido 158 veces, </w:t>
      </w:r>
      <w:hyperlink r:id="rId13">
        <w:r w:rsidDel="00000000" w:rsidR="00000000" w:rsidRPr="00000000">
          <w:rPr>
            <w:color w:val="1155cc"/>
            <w:u w:val="single"/>
            <w:rtl w:val="0"/>
          </w:rPr>
          <w:t xml:space="preserve">https://freerepublic.com/tag/*/</w:t>
        </w:r>
      </w:hyperlink>
      <w:r w:rsidDel="00000000" w:rsidR="00000000" w:rsidRPr="00000000">
        <w:rPr>
          <w:rtl w:val="0"/>
        </w:rPr>
        <w:t xml:space="preserve"> 125 y </w:t>
      </w:r>
      <w:hyperlink r:id="rId14">
        <w:r w:rsidDel="00000000" w:rsidR="00000000" w:rsidRPr="00000000">
          <w:rPr>
            <w:color w:val="1155cc"/>
            <w:u w:val="single"/>
            <w:rtl w:val="0"/>
          </w:rPr>
          <w:t xml:space="preserve">https://ismatimes.com /gttci-ethiopian-coffee-evening-farewell</w:t>
        </w:r>
      </w:hyperlink>
      <w:r w:rsidDel="00000000" w:rsidR="00000000" w:rsidRPr="00000000">
        <w:rPr>
          <w:rtl w:val="0"/>
        </w:rPr>
        <w:t xml:space="preserve"> 118x.</w:t>
      </w:r>
    </w:p>
    <w:p w:rsidR="00000000" w:rsidDel="00000000" w:rsidP="00000000" w:rsidRDefault="00000000" w:rsidRPr="00000000" w14:paraId="00000132">
      <w:pPr>
        <w:rPr/>
      </w:pPr>
      <w:r w:rsidDel="00000000" w:rsidR="00000000" w:rsidRPr="00000000">
        <w:rPr>
          <w:rtl w:val="0"/>
        </w:rPr>
        <w:t xml:space="preserve">Las dos más repetidas (158 y 125 ocurrencias) corresponden a URLs genéricas sin contenido específico, ya que al investigarlas, muestran webs de que no se ha encontrado noticias o menús principales. Hay que desecharlas también para que no entren en el recuento de las métricas dando unos eventos que no tienen ningún sentido.</w:t>
      </w:r>
    </w:p>
    <w:p w:rsidR="00000000" w:rsidDel="00000000" w:rsidP="00000000" w:rsidRDefault="00000000" w:rsidRPr="00000000" w14:paraId="00000133">
      <w:pPr>
        <w:rPr/>
      </w:pPr>
      <w:r w:rsidDel="00000000" w:rsidR="00000000" w:rsidRPr="00000000">
        <w:rPr>
          <w:rtl w:val="0"/>
        </w:rPr>
        <w:t xml:space="preserve">Para detectar contenido equivalente y para los pasos de las representaciones vectoriales y LDA (Latent Drichlet Allocation) posteriores se construye, por evento, un texto sintético a partir de tres fuentes complementarias:</w:t>
      </w:r>
    </w:p>
    <w:p w:rsidR="00000000" w:rsidDel="00000000" w:rsidP="00000000" w:rsidRDefault="00000000" w:rsidRPr="00000000" w14:paraId="00000134">
      <w:pPr>
        <w:numPr>
          <w:ilvl w:val="0"/>
          <w:numId w:val="10"/>
        </w:numPr>
        <w:spacing w:after="0" w:lineRule="auto"/>
        <w:ind w:left="720" w:hanging="360"/>
        <w:rPr>
          <w:u w:val="none"/>
        </w:rPr>
      </w:pPr>
      <w:r w:rsidDel="00000000" w:rsidR="00000000" w:rsidRPr="00000000">
        <w:rPr>
          <w:b w:val="1"/>
          <w:bCs w:val="1"/>
          <w:rtl w:val="0"/>
        </w:rPr>
        <w:t xml:space="preserve">Texto identificador de la URL: </w:t>
      </w:r>
      <w:r w:rsidDel="00000000" w:rsidR="00000000" w:rsidRPr="00000000">
        <w:rPr>
          <w:rtl w:val="0"/>
        </w:rPr>
        <w:t xml:space="preserve">En muchas cabeceras actuales el titular va embebido en la URL (</w:t>
      </w:r>
      <w:r w:rsidDel="00000000" w:rsidR="00000000" w:rsidRPr="00000000">
        <w:rPr>
          <w:i w:val="1"/>
          <w:iCs w:val="1"/>
          <w:rtl w:val="0"/>
        </w:rPr>
        <w:t xml:space="preserve">/news /elon -musk-jets-off-to-china, /politics /israel- lebanon- ceasefire- extended)</w:t>
      </w:r>
      <w:r w:rsidDel="00000000" w:rsidR="00000000" w:rsidRPr="00000000">
        <w:rPr>
          <w:rtl w:val="0"/>
        </w:rPr>
        <w:t xml:space="preserve">. Se extraen los </w:t>
      </w:r>
      <w:r w:rsidDel="00000000" w:rsidR="00000000" w:rsidRPr="00000000">
        <w:rPr>
          <w:i w:val="1"/>
          <w:iCs w:val="1"/>
          <w:rtl w:val="0"/>
        </w:rPr>
        <w:t xml:space="preserve">tokens </w:t>
      </w:r>
      <w:r w:rsidDel="00000000" w:rsidR="00000000" w:rsidRPr="00000000">
        <w:rPr>
          <w:rtl w:val="0"/>
        </w:rPr>
        <w:t xml:space="preserve">de la ruta, se descartan los de longitud inferior a tres caracteres, los que contienen dígitos (típicos de identificadores), los hexadecimales (UUIDs) y un conjunto cerrado de stopwords específicas de URLs (</w:t>
      </w:r>
      <w:r w:rsidDel="00000000" w:rsidR="00000000" w:rsidRPr="00000000">
        <w:rPr>
          <w:i w:val="1"/>
          <w:iCs w:val="1"/>
          <w:rtl w:val="0"/>
        </w:rPr>
        <w:t xml:space="preserve">news</w:t>
      </w:r>
      <w:r w:rsidDel="00000000" w:rsidR="00000000" w:rsidRPr="00000000">
        <w:rPr>
          <w:rtl w:val="0"/>
        </w:rPr>
        <w:t xml:space="preserve">, </w:t>
      </w:r>
      <w:r w:rsidDel="00000000" w:rsidR="00000000" w:rsidRPr="00000000">
        <w:rPr>
          <w:i w:val="1"/>
          <w:iCs w:val="1"/>
          <w:rtl w:val="0"/>
        </w:rPr>
        <w:t xml:space="preserve">article</w:t>
      </w:r>
      <w:r w:rsidDel="00000000" w:rsidR="00000000" w:rsidRPr="00000000">
        <w:rPr>
          <w:rtl w:val="0"/>
        </w:rPr>
        <w:t xml:space="preserve">, </w:t>
      </w:r>
      <w:r w:rsidDel="00000000" w:rsidR="00000000" w:rsidRPr="00000000">
        <w:rPr>
          <w:i w:val="1"/>
          <w:iCs w:val="1"/>
          <w:rtl w:val="0"/>
        </w:rPr>
        <w:t xml:space="preserve">html</w:t>
      </w:r>
      <w:r w:rsidDel="00000000" w:rsidR="00000000" w:rsidRPr="00000000">
        <w:rPr>
          <w:rtl w:val="0"/>
        </w:rPr>
        <w:t xml:space="preserve">, </w:t>
      </w:r>
      <w:r w:rsidDel="00000000" w:rsidR="00000000" w:rsidRPr="00000000">
        <w:rPr>
          <w:i w:val="1"/>
          <w:iCs w:val="1"/>
          <w:rtl w:val="0"/>
        </w:rPr>
        <w:t xml:space="preserve">index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5">
      <w:pPr>
        <w:numPr>
          <w:ilvl w:val="0"/>
          <w:numId w:val="10"/>
        </w:numPr>
        <w:spacing w:after="0" w:before="0" w:lineRule="auto"/>
        <w:ind w:left="720" w:hanging="360"/>
        <w:rPr>
          <w:u w:val="none"/>
        </w:rPr>
      </w:pPr>
      <w:r w:rsidDel="00000000" w:rsidR="00000000" w:rsidRPr="00000000">
        <w:rPr>
          <w:b w:val="1"/>
          <w:bCs w:val="1"/>
          <w:rtl w:val="0"/>
        </w:rPr>
        <w:t xml:space="preserve">Metadatos estructurados del propio evento: </w:t>
      </w:r>
      <w:r w:rsidDel="00000000" w:rsidR="00000000" w:rsidRPr="00000000">
        <w:rPr>
          <w:rFonts w:ascii="Courier New" w:cs="Courier New" w:eastAsia="Courier New" w:hAnsi="Courier New"/>
          <w:rtl w:val="0"/>
        </w:rPr>
        <w:t xml:space="preserve">Actor1Name, Actor2Name y ActionGeo_FullName</w:t>
      </w:r>
      <w:r w:rsidDel="00000000" w:rsidR="00000000" w:rsidRPr="00000000">
        <w:rPr>
          <w:rtl w:val="0"/>
        </w:rPr>
        <w:t xml:space="preserve">, todos en minúsculas.</w:t>
      </w:r>
      <w:r w:rsidDel="00000000" w:rsidR="00000000" w:rsidRPr="00000000">
        <w:rPr>
          <w:rtl w:val="0"/>
        </w:rPr>
      </w:r>
    </w:p>
    <w:p w:rsidR="00000000" w:rsidDel="00000000" w:rsidP="00000000" w:rsidRDefault="00000000" w:rsidRPr="00000000" w14:paraId="00000136">
      <w:pPr>
        <w:numPr>
          <w:ilvl w:val="0"/>
          <w:numId w:val="10"/>
        </w:numPr>
        <w:spacing w:before="0" w:lineRule="auto"/>
        <w:ind w:left="720" w:hanging="360"/>
        <w:rPr>
          <w:u w:val="none"/>
        </w:rPr>
      </w:pPr>
      <w:r w:rsidDel="00000000" w:rsidR="00000000" w:rsidRPr="00000000">
        <w:rPr>
          <w:b w:val="1"/>
          <w:bCs w:val="1"/>
          <w:rtl w:val="0"/>
        </w:rPr>
        <w:t xml:space="preserve">Etiquetas textuales de la codificación CAMEO:</w:t>
      </w:r>
      <w:r w:rsidDel="00000000" w:rsidR="00000000" w:rsidRPr="00000000">
        <w:rPr>
          <w:rtl w:val="0"/>
        </w:rPr>
        <w:t xml:space="preserve"> descripción del </w:t>
      </w:r>
      <w:r w:rsidDel="00000000" w:rsidR="00000000" w:rsidRPr="00000000">
        <w:rPr>
          <w:rFonts w:ascii="Courier New" w:cs="Courier New" w:eastAsia="Courier New" w:hAnsi="Courier New"/>
          <w:rtl w:val="0"/>
        </w:rPr>
        <w:t xml:space="preserve">EventRootCode </w:t>
      </w:r>
      <w:r w:rsidDel="00000000" w:rsidR="00000000" w:rsidRPr="00000000">
        <w:rPr>
          <w:rtl w:val="0"/>
        </w:rPr>
        <w:t xml:space="preserve">(</w:t>
      </w:r>
      <w:r w:rsidDel="00000000" w:rsidR="00000000" w:rsidRPr="00000000">
        <w:rPr>
          <w:i w:val="1"/>
          <w:iCs w:val="1"/>
          <w:rtl w:val="0"/>
        </w:rPr>
        <w:t xml:space="preserve">appeal</w:t>
      </w:r>
      <w:r w:rsidDel="00000000" w:rsidR="00000000" w:rsidRPr="00000000">
        <w:rPr>
          <w:rtl w:val="0"/>
        </w:rPr>
        <w:t xml:space="preserve">, </w:t>
      </w:r>
      <w:r w:rsidDel="00000000" w:rsidR="00000000" w:rsidRPr="00000000">
        <w:rPr>
          <w:i w:val="1"/>
          <w:iCs w:val="1"/>
          <w:rtl w:val="0"/>
        </w:rPr>
        <w:t xml:space="preserve">protest</w:t>
      </w:r>
      <w:r w:rsidDel="00000000" w:rsidR="00000000" w:rsidRPr="00000000">
        <w:rPr>
          <w:rtl w:val="0"/>
        </w:rPr>
        <w:t xml:space="preserve">, </w:t>
      </w:r>
      <w:r w:rsidDel="00000000" w:rsidR="00000000" w:rsidRPr="00000000">
        <w:rPr>
          <w:i w:val="1"/>
          <w:iCs w:val="1"/>
          <w:rtl w:val="0"/>
        </w:rPr>
        <w:t xml:space="preserve">fight</w:t>
      </w:r>
      <w:r w:rsidDel="00000000" w:rsidR="00000000" w:rsidRPr="00000000">
        <w:rPr>
          <w:rtl w:val="0"/>
        </w:rPr>
        <w:t xml:space="preserve">, ...) y del </w:t>
      </w:r>
      <w:r w:rsidDel="00000000" w:rsidR="00000000" w:rsidRPr="00000000">
        <w:rPr>
          <w:rFonts w:ascii="Courier New" w:cs="Courier New" w:eastAsia="Courier New" w:hAnsi="Courier New"/>
          <w:rtl w:val="0"/>
        </w:rPr>
        <w:t xml:space="preserve">QuadClass </w:t>
      </w:r>
      <w:r w:rsidDel="00000000" w:rsidR="00000000" w:rsidRPr="00000000">
        <w:rPr>
          <w:rtl w:val="0"/>
        </w:rPr>
        <w:t xml:space="preserve">(</w:t>
      </w:r>
      <w:r w:rsidDel="00000000" w:rsidR="00000000" w:rsidRPr="00000000">
        <w:rPr>
          <w:i w:val="1"/>
          <w:iCs w:val="1"/>
          <w:rtl w:val="0"/>
        </w:rPr>
        <w:t xml:space="preserve">verbal cooperation</w:t>
      </w:r>
      <w:r w:rsidDel="00000000" w:rsidR="00000000" w:rsidRPr="00000000">
        <w:rPr>
          <w:rtl w:val="0"/>
        </w:rPr>
        <w:t xml:space="preserve">, </w:t>
      </w:r>
      <w:r w:rsidDel="00000000" w:rsidR="00000000" w:rsidRPr="00000000">
        <w:rPr>
          <w:i w:val="1"/>
          <w:iCs w:val="1"/>
          <w:rtl w:val="0"/>
        </w:rPr>
        <w:t xml:space="preserve">material conflict</w:t>
      </w:r>
      <w:r w:rsidDel="00000000" w:rsidR="00000000" w:rsidRPr="00000000">
        <w:rPr>
          <w:rtl w:val="0"/>
        </w:rPr>
        <w:t xml:space="preserve">, ...). Aportan el "qué tipo de evento" en lenguaje natural.</w:t>
      </w:r>
    </w:p>
    <w:p w:rsidR="00000000" w:rsidDel="00000000" w:rsidP="00000000" w:rsidRDefault="00000000" w:rsidRPr="00000000" w14:paraId="00000137">
      <w:pPr>
        <w:rPr/>
      </w:pPr>
      <w:r w:rsidDel="00000000" w:rsidR="00000000" w:rsidRPr="00000000">
        <w:rPr>
          <w:rtl w:val="0"/>
        </w:rPr>
        <w:t xml:space="preserve">Tras aplicar el filtro que descarta las URLs cuyo slug contiene menos de tres tokens, se parte de 118 201 filas y se conservan 107 248 (90,7 %), descartándose 10 953 (9,3 %) por no disponer de texto suficiente para el análisis.</w:t>
      </w:r>
    </w:p>
    <w:p w:rsidR="00000000" w:rsidDel="00000000" w:rsidP="00000000" w:rsidRDefault="00000000" w:rsidRPr="00000000" w14:paraId="00000138">
      <w:pPr>
        <w:rPr/>
      </w:pPr>
      <w:r w:rsidDel="00000000" w:rsidR="00000000" w:rsidRPr="00000000">
        <w:rPr>
          <w:rtl w:val="0"/>
        </w:rPr>
        <w:t xml:space="preserve">El texto sintético obtenido a partir de cada URL presenta una longitud media de 18 tokens (mediana de 18), con un mínimo de 7 y un máximo de 43. Se trata, por tanto, de fragmentos breves y homogéneos, adecuados para el procesamiento posterior.</w:t>
      </w:r>
    </w:p>
    <w:p w:rsidR="00000000" w:rsidDel="00000000" w:rsidP="00000000" w:rsidRDefault="00000000" w:rsidRPr="00000000" w14:paraId="00000139">
      <w:pPr>
        <w:rPr/>
      </w:pPr>
      <w:r w:rsidDel="00000000" w:rsidR="00000000" w:rsidRPr="00000000">
        <w:rPr>
          <w:rtl w:val="0"/>
        </w:rPr>
        <w:t xml:space="preserve">A modo ilustrativo, dos filas tomadas al azar muestran cómo cada URL se reduce a una secuencia compacta de palabras clave que conserva los actores, la acción y el tipo de evento:</w:t>
      </w:r>
    </w:p>
    <w:p w:rsidR="00000000" w:rsidDel="00000000" w:rsidP="00000000" w:rsidRDefault="00000000" w:rsidRPr="00000000" w14:paraId="0000013A">
      <w:pPr>
        <w:numPr>
          <w:ilvl w:val="0"/>
          <w:numId w:val="22"/>
        </w:numPr>
        <w:ind w:left="720" w:hanging="360"/>
      </w:pPr>
      <w:r w:rsidDel="00000000" w:rsidR="00000000" w:rsidRPr="00000000">
        <w:rPr>
          <w:rtl w:val="0"/>
        </w:rPr>
        <w:t xml:space="preserve">Una noticia sobre la cancelación de un despliegue militar en Polonia se transforma en "your military army leaders hot seat over poland deployment cancellation european publication iran reject verbal conflict".</w:t>
      </w:r>
    </w:p>
    <w:p w:rsidR="00000000" w:rsidDel="00000000" w:rsidP="00000000" w:rsidRDefault="00000000" w:rsidRPr="00000000" w14:paraId="0000013B">
      <w:pPr>
        <w:numPr>
          <w:ilvl w:val="0"/>
          <w:numId w:val="22"/>
        </w:numPr>
        <w:ind w:left="720" w:hanging="360"/>
      </w:pPr>
      <w:r w:rsidDel="00000000" w:rsidR="00000000" w:rsidRPr="00000000">
        <w:rPr>
          <w:rtl w:val="0"/>
        </w:rPr>
        <w:t xml:space="preserve">Una noticia sobre la prórroga del alto el fuego entre Israel y Líbano queda como "israel lebanon ceasefire extended days israeli washington district of columbia united states reject verbal conflict".</w:t>
      </w:r>
    </w:p>
    <w:p w:rsidR="00000000" w:rsidDel="00000000" w:rsidP="00000000" w:rsidRDefault="00000000" w:rsidRPr="00000000" w14:paraId="0000013C">
      <w:pPr>
        <w:rPr>
          <w:color w:val="f5f5f5"/>
          <w:highlight w:val="black"/>
        </w:rPr>
      </w:pPr>
      <w:r w:rsidDel="00000000" w:rsidR="00000000" w:rsidRPr="00000000">
        <w:rPr>
          <w:rtl w:val="0"/>
        </w:rPr>
        <w:t xml:space="preserve">En ambos casos, el texto resultante captura la esencia geopolítica del evento (actores implicados, naturaleza de la acción y clasificación del conflicto) en una representación reducida y normalizada.</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El filtro descarta el 9.3 % de las filas(10 953), exactamente las que tenían URL genérica sin titular embebido. El texto resultante tiene una mediana de 18 tokens, suficiente para alimentar las representaciones vectoriales y para un LDA de baja resolución temática.</w:t>
      </w:r>
    </w:p>
    <w:p w:rsidR="00000000" w:rsidDel="00000000" w:rsidP="00000000" w:rsidRDefault="00000000" w:rsidRPr="00000000" w14:paraId="0000013E">
      <w:pPr>
        <w:rPr/>
      </w:pPr>
      <w:r w:rsidDel="00000000" w:rsidR="00000000" w:rsidRPr="00000000">
        <w:rPr>
          <w:rtl w:val="0"/>
        </w:rPr>
        <w:t xml:space="preserve">El conteo por URL detecta exactamente la misma URL repetida, pero no captura el caso de mayor interés para este trabajo: un mismo evento cubierto por medios distintos, con URLs diferentes pero contenido equivalente. Para abordar este caso se proyectan los textos sintéticos a un espacio vectorial denso mediante representaciones vectoriales, y se agrupan los vectores cercanos por similitud coseno.</w:t>
      </w:r>
    </w:p>
    <w:p w:rsidR="00000000" w:rsidDel="00000000" w:rsidP="00000000" w:rsidRDefault="00000000" w:rsidRPr="00000000" w14:paraId="0000013F">
      <w:pPr>
        <w:rPr>
          <w:highlight w:val="yellow"/>
        </w:rPr>
      </w:pPr>
      <w:r w:rsidDel="00000000" w:rsidR="00000000" w:rsidRPr="00000000">
        <w:rPr>
          <w:b w:val="1"/>
          <w:bCs w:val="1"/>
          <w:highlight w:val="yellow"/>
          <w:rtl w:val="0"/>
        </w:rPr>
        <w:t xml:space="preserve">Granularidad:</w:t>
      </w:r>
      <w:r w:rsidDel="00000000" w:rsidR="00000000" w:rsidRPr="00000000">
        <w:rPr>
          <w:highlight w:val="yellow"/>
          <w:rtl w:val="0"/>
        </w:rPr>
        <w:t xml:space="preserve"> Se calcula un representaciones vectoriales por URL única. Esta decisión se basa en que todas las filas asociadas a una misma URL comparten el slug, por lo que sus textos sintéticos son prácticamente idénticos. La reducción es de aproximadamente 107 248 filas a 22 572 URLs únicas.</w:t>
      </w:r>
    </w:p>
    <w:p w:rsidR="00000000" w:rsidDel="00000000" w:rsidP="00000000" w:rsidRDefault="00000000" w:rsidRPr="00000000" w14:paraId="00000140">
      <w:pPr>
        <w:rPr>
          <w:highlight w:val="yellow"/>
        </w:rPr>
      </w:pPr>
      <w:r w:rsidDel="00000000" w:rsidR="00000000" w:rsidRPr="00000000">
        <w:rPr>
          <w:b w:val="1"/>
          <w:bCs w:val="1"/>
          <w:highlight w:val="yellow"/>
          <w:rtl w:val="0"/>
        </w:rPr>
        <w:t xml:space="preserve">Modelo:</w:t>
      </w:r>
      <w:r w:rsidDel="00000000" w:rsidR="00000000" w:rsidRPr="00000000">
        <w:rPr>
          <w:highlight w:val="yellow"/>
          <w:rtl w:val="0"/>
        </w:rPr>
        <w:t xml:space="preserve"> Se utiliza `</w:t>
      </w:r>
      <w:r w:rsidDel="00000000" w:rsidR="00000000" w:rsidRPr="00000000">
        <w:rPr>
          <w:i w:val="1"/>
          <w:iCs w:val="1"/>
          <w:highlight w:val="yellow"/>
          <w:rtl w:val="0"/>
        </w:rPr>
        <w:t xml:space="preserve">sentence-transformers/all-MiniLM-L6-v2</w:t>
      </w:r>
      <w:r w:rsidDel="00000000" w:rsidR="00000000" w:rsidRPr="00000000">
        <w:rPr>
          <w:highlight w:val="yellow"/>
          <w:rtl w:val="0"/>
        </w:rPr>
        <w:t xml:space="preserve">`.</w:t>
      </w:r>
    </w:p>
    <w:p w:rsidR="00000000" w:rsidDel="00000000" w:rsidP="00000000" w:rsidRDefault="00000000" w:rsidRPr="00000000" w14:paraId="00000141">
      <w:pPr>
        <w:rPr>
          <w:rFonts w:ascii="Calibri" w:cs="Calibri" w:eastAsia="Calibri" w:hAnsi="Calibri"/>
          <w:sz w:val="24"/>
          <w:szCs w:val="24"/>
          <w:highlight w:val="yellow"/>
        </w:rPr>
      </w:pPr>
      <w:r w:rsidDel="00000000" w:rsidR="00000000" w:rsidRPr="00000000">
        <w:rPr>
          <w:b w:val="1"/>
          <w:bCs w:val="1"/>
          <w:highlight w:val="yellow"/>
          <w:rtl w:val="0"/>
        </w:rPr>
        <w:t xml:space="preserve">Algoritmo de agrupamiento:</w:t>
      </w:r>
      <w:r w:rsidDel="00000000" w:rsidR="00000000" w:rsidRPr="00000000">
        <w:rPr>
          <w:highlight w:val="yellow"/>
          <w:rtl w:val="0"/>
        </w:rPr>
        <w:t xml:space="preserve"> Se construye un grafo dirigido de k-vecinos más próximos sobre las representaciones vectoriales (k = 15, métrica coseno). Se filtran las aristas cuya similitud coseno sea inferior a 0.80, y se calculan las componentes conexas del grafo resultante. Cada componente es un grupo de noticias relacionadas.</w:t>
      </w:r>
      <w:r w:rsidDel="00000000" w:rsidR="00000000" w:rsidRPr="00000000">
        <w:rPr>
          <w:rtl w:val="0"/>
        </w:rPr>
      </w:r>
    </w:p>
    <w:p w:rsidR="00000000" w:rsidDel="00000000" w:rsidP="00000000" w:rsidRDefault="00000000" w:rsidRPr="00000000" w14:paraId="00000142">
      <w:pPr>
        <w:pStyle w:val="Subtitle"/>
        <w:rPr/>
      </w:pPr>
      <w:bookmarkStart w:colFirst="0" w:colLast="0" w:name="_heading=h.cvd23rpwk22c" w:id="34"/>
      <w:bookmarkEnd w:id="34"/>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Resultado</w:t>
      </w:r>
      <w:r w:rsidDel="00000000" w:rsidR="00000000" w:rsidRPr="00000000">
        <w:rPr>
          <w:b w:val="1"/>
          <w:bCs w:val="1"/>
          <w:rtl w:val="0"/>
        </w:rPr>
        <w:t xml:space="preserve">: </w:t>
      </w:r>
      <w:r w:rsidDel="00000000" w:rsidR="00000000" w:rsidRPr="00000000">
        <w:rPr>
          <w:rtl w:val="0"/>
        </w:rPr>
        <w:t xml:space="preserve">Sobre el fichero analizado, los 22 572 puntos se agrupan en 19 423 grupos, de los cuales el 94.4 % son singletons (un único punto sin vecinos suficientemente próximos) y el 5.6 % son grupos de dos o más. El grupo más grande contiene 318 URLs. El tamaño medio de grupo es 1.16.</w:t>
      </w:r>
    </w:p>
    <w:p w:rsidR="00000000" w:rsidDel="00000000" w:rsidP="00000000" w:rsidRDefault="00000000" w:rsidRPr="00000000" w14:paraId="00000144">
      <w:pPr>
        <w:rPr/>
      </w:pPr>
      <w:r w:rsidDel="00000000" w:rsidR="00000000" w:rsidRPr="00000000">
        <w:rPr/>
        <w:drawing>
          <wp:inline distB="114300" distT="114300" distL="114300" distR="114300">
            <wp:extent cx="5759775" cy="2273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97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Top 3 grupos por tamaño:</w:t>
        <w:br w:type="textWrapping"/>
        <w:t xml:space="preserve">  </w:t>
      </w:r>
    </w:p>
    <w:p w:rsidR="00000000" w:rsidDel="00000000" w:rsidP="00000000" w:rsidRDefault="00000000" w:rsidRPr="00000000" w14:paraId="00000146">
      <w:pPr>
        <w:numPr>
          <w:ilvl w:val="0"/>
          <w:numId w:val="12"/>
        </w:numPr>
        <w:ind w:left="720" w:hanging="360"/>
        <w:rPr>
          <w:u w:val="none"/>
        </w:rPr>
      </w:pPr>
      <w:r w:rsidDel="00000000" w:rsidR="00000000" w:rsidRPr="00000000">
        <w:rPr>
          <w:rtl w:val="0"/>
        </w:rPr>
        <w:t xml:space="preserve">Grupo 130 (318 URLs):</w:t>
      </w:r>
      <w:r w:rsidDel="00000000" w:rsidR="00000000" w:rsidRPr="00000000">
        <w:rPr>
          <w:rtl w:val="0"/>
        </w:rPr>
      </w:r>
    </w:p>
    <w:p w:rsidR="00000000" w:rsidDel="00000000" w:rsidP="00000000" w:rsidRDefault="00000000" w:rsidRPr="00000000" w14:paraId="00000147">
      <w:pPr>
        <w:ind w:left="720" w:firstLine="0"/>
        <w:rPr/>
      </w:pPr>
      <w:hyperlink r:id="rId16">
        <w:r w:rsidDel="00000000" w:rsidR="00000000" w:rsidRPr="00000000">
          <w:rPr>
            <w:color w:val="1155cc"/>
            <w:u w:val="single"/>
            <w:rtl w:val="0"/>
          </w:rPr>
          <w:t xml:space="preserve">http://www.bgnes.com/politics/trump-warns-taiwan-not-to-move-toward-independence</w:t>
        </w:r>
      </w:hyperlink>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texto: trump warns taiwan not move toward independence taiwan beijing, beijing, china threaten verbal conflict</w:t>
      </w:r>
    </w:p>
    <w:p w:rsidR="00000000" w:rsidDel="00000000" w:rsidP="00000000" w:rsidRDefault="00000000" w:rsidRPr="00000000" w14:paraId="00000149">
      <w:pPr>
        <w:ind w:left="0" w:firstLine="425.19685039370086"/>
        <w:rPr/>
      </w:pPr>
      <w:r w:rsidDel="00000000" w:rsidR="00000000" w:rsidRPr="00000000">
        <w:rPr>
          <w:rtl w:val="0"/>
        </w:rPr>
        <w:t xml:space="preserve">2. Grupo 143 (107 URLs):</w:t>
      </w:r>
    </w:p>
    <w:p w:rsidR="00000000" w:rsidDel="00000000" w:rsidP="00000000" w:rsidRDefault="00000000" w:rsidRPr="00000000" w14:paraId="0000014A">
      <w:pPr>
        <w:ind w:left="720" w:firstLine="0"/>
        <w:rPr/>
      </w:pPr>
      <w:hyperlink r:id="rId17">
        <w:r w:rsidDel="00000000" w:rsidR="00000000" w:rsidRPr="00000000">
          <w:rPr>
            <w:color w:val="1155cc"/>
            <w:u w:val="single"/>
            <w:rtl w:val="0"/>
          </w:rPr>
          <w:t xml:space="preserve">https://13wham.com/news/local/suspected-hantavirus-case-in-ontario-county-involves-</w:t>
        </w:r>
      </w:hyperlink>
      <w:r w:rsidDel="00000000" w:rsidR="00000000" w:rsidRPr="00000000">
        <w:rPr>
          <w:rtl w:val="0"/>
        </w:rPr>
        <w:t xml:space="preserve">...</w:t>
      </w:r>
    </w:p>
    <w:p w:rsidR="00000000" w:rsidDel="00000000" w:rsidP="00000000" w:rsidRDefault="00000000" w:rsidRPr="00000000" w14:paraId="0000014B">
      <w:pPr>
        <w:ind w:left="720" w:firstLine="0"/>
        <w:rPr/>
      </w:pPr>
      <w:r w:rsidDel="00000000" w:rsidR="00000000" w:rsidRPr="00000000">
        <w:rPr>
          <w:rtl w:val="0"/>
        </w:rPr>
        <w:t xml:space="preserve">texto: suspected hantavirus case ontario county involves geneva high school student</w:t>
      </w:r>
    </w:p>
    <w:p w:rsidR="00000000" w:rsidDel="00000000" w:rsidP="00000000" w:rsidRDefault="00000000" w:rsidRPr="00000000" w14:paraId="0000014C">
      <w:pPr>
        <w:ind w:left="425.19685039370086" w:firstLine="0"/>
        <w:rPr/>
      </w:pPr>
      <w:r w:rsidDel="00000000" w:rsidR="00000000" w:rsidRPr="00000000">
        <w:rPr>
          <w:rtl w:val="0"/>
        </w:rPr>
        <w:t xml:space="preserve">3. Grupo137 (93 URLs):</w:t>
      </w:r>
    </w:p>
    <w:p w:rsidR="00000000" w:rsidDel="00000000" w:rsidP="00000000" w:rsidRDefault="00000000" w:rsidRPr="00000000" w14:paraId="0000014D">
      <w:pPr>
        <w:ind w:left="425.19685039370086" w:firstLine="294.80314960629914"/>
        <w:rPr/>
      </w:pPr>
      <w:hyperlink r:id="rId18">
        <w:r w:rsidDel="00000000" w:rsidR="00000000" w:rsidRPr="00000000">
          <w:rPr>
            <w:color w:val="1155cc"/>
            <w:u w:val="single"/>
            <w:rtl w:val="0"/>
          </w:rPr>
          <w:t xml:space="preserve">http://www.heraldglobe.com/news/.../amid-spiralling-relations-cuban-government-meets-cia</w:t>
        </w:r>
      </w:hyperlink>
      <w:r w:rsidDel="00000000" w:rsidR="00000000" w:rsidRPr="00000000">
        <w:rPr>
          <w:rtl w:val="0"/>
        </w:rPr>
      </w:r>
    </w:p>
    <w:p w:rsidR="00000000" w:rsidDel="00000000" w:rsidP="00000000" w:rsidRDefault="00000000" w:rsidRPr="00000000" w14:paraId="0000014E">
      <w:pPr>
        <w:ind w:left="0" w:firstLine="720"/>
        <w:rPr/>
      </w:pPr>
      <w:r w:rsidDel="00000000" w:rsidR="00000000" w:rsidRPr="00000000">
        <w:rPr>
          <w:rtl w:val="0"/>
        </w:rPr>
        <w:t xml:space="preserve">texto: amid spiralling relations cuban government meets cia director ratcliffe havana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El umbral coseno de 0.80 elegido produce grupos de naturaleza temática más que de "misma noticia exacta". El mayor grupo, al examinarlo, agrupa noticias diplomáticas heterogéneas (advertencias EE.UU.-Taiwán, prórroga del alto el fuego Israel-Líbano, etc.) que comparten vocabulario y estructura (*"threaten"*, *"verbal conflict"*, nombres de países en tensión). Los grupos de tamaño intermedio (decenas de URLs), en cambio, sí corresponden a un único evento cubierto por muchos medios: el grupo de 85 URLs sobre el juicio a Harvey Weinstein o el de 107 URLs sobre el brote de hantavirus tras un crucero. Para una deduplicación estricta tipo "mismo artículo reescrito" habría que subir el umbral, aceptando que muchas reescrituras se quedan sin agrupar.</w:t>
      </w:r>
    </w:p>
    <w:p w:rsidR="00000000" w:rsidDel="00000000" w:rsidP="00000000" w:rsidRDefault="00000000" w:rsidRPr="00000000" w14:paraId="00000151">
      <w:pPr>
        <w:rPr/>
      </w:pPr>
      <w:r w:rsidDel="00000000" w:rsidR="00000000" w:rsidRPr="00000000">
        <w:rPr>
          <w:rtl w:val="0"/>
        </w:rPr>
        <w:t xml:space="preserve">Para poder comprobar cómo ha funcionado, se ha seleccionado tres días diferentes y se ha puesto a prueba  para comprobar si ha funcionado correctamente o si los valores que se han eliminado han cambiado mucho:</w:t>
        <w:br w:type="textWrapping"/>
      </w:r>
      <w:r w:rsidDel="00000000" w:rsidR="00000000" w:rsidRPr="00000000">
        <w:rPr/>
        <w:drawing>
          <wp:inline distB="114300" distT="114300" distL="114300" distR="114300">
            <wp:extent cx="5759775" cy="17145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597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El porcentaje de descarte por filtro de slug, el factor de inflación y el porcentaje de singletons del grupoing varían dentro de márgenes de unas pocas décimas.</w:t>
      </w:r>
    </w:p>
    <w:p w:rsidR="00000000" w:rsidDel="00000000" w:rsidP="00000000" w:rsidRDefault="00000000" w:rsidRPr="00000000" w14:paraId="00000153">
      <w:pPr>
        <w:rPr/>
      </w:pPr>
      <w:r w:rsidDel="00000000" w:rsidR="00000000" w:rsidRPr="00000000">
        <w:rPr>
          <w:rtl w:val="0"/>
        </w:rPr>
        <w:t xml:space="preserve">Pero sigue habiendo mucho contenido para añadirlo al grafo.  Hay que reducir mucho más este contenido, ya que si sumamos los tres días de ejemplo, aparece que hay 288.925 filas y 51.294 grupos semánticos, lo cual son datos muy elevados. Para ello se van a aplicar dos filtros: </w:t>
      </w:r>
    </w:p>
    <w:p w:rsidR="00000000" w:rsidDel="00000000" w:rsidP="00000000" w:rsidRDefault="00000000" w:rsidRPr="00000000" w14:paraId="000001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Concurrencia de fenómenos: Conservar noticias que mínimo aparezcan en X medios distintos. Si varios medios cubren el mismo evento, es posible reducir el ruido local (noticias que han ocurrido en un estado de Estados Unidos pero que no tiene impacto en el resto de país). </w:t>
      </w:r>
    </w:p>
    <w:p w:rsidR="00000000" w:rsidDel="00000000" w:rsidP="00000000" w:rsidRDefault="00000000" w:rsidRPr="00000000" w14:paraId="000001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Relevancia geopolítica: Conservar solo eventos en los que haya al menos un actor de gran importancia.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59775" cy="18288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59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han hecho pruebas para ver cual es el umbral que se va a utilizar para filtrar y se ha decidido que 5 es un buen número ya que no deja de lado muchas posibles noticias que tienen potencial interés para el grafo.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Tras la limpieza y reducción del contenido, se ha aplicado un LDA sobre el corpus de textos. El objetivo es complementar el gruposy descubrir temas dentro de estos textos, para poder agruparlos. Como no tenemos textos complejos, sino URL, el LDA detecta patrones de palabras.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Los tópicos no representan temas argumentales, sino patrones de concurrencia de palabras, que pueden ser desde países, ciudades o eventos. La siguiente tabla recoge 5 tópicos resultantes junto con el número de documentos asignados a cada uno.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1392313871"/>
        <w:tag w:val="goog_rdk_4"/>
      </w:sdtPr>
      <w:sdtContent>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485"/>
            <w:gridCol w:w="6705"/>
            <w:tblGridChange w:id="0">
              <w:tblGrid>
                <w:gridCol w:w="855"/>
                <w:gridCol w:w="148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Palabras representativas</w:t>
                </w:r>
              </w:p>
            </w:tc>
          </w:tr>
          <w:tr>
            <w:trPr>
              <w:cantSplit w:val="0"/>
              <w:trHeight w:val="544.4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spacing w:after="0" w:before="0" w:lineRule="auto"/>
                  <w:ind w:left="0" w:firstLine="0"/>
                  <w:jc w:val="center"/>
                  <w:rPr/>
                </w:pPr>
                <w:r w:rsidDel="00000000" w:rsidR="00000000" w:rsidRPr="00000000">
                  <w:rPr>
                    <w:rtl w:val="0"/>
                  </w:rPr>
                  <w:t xml:space="preserve">3,306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spacing w:after="0" w:lineRule="auto"/>
                  <w:ind w:left="0" w:firstLine="0"/>
                  <w:rPr/>
                </w:pPr>
                <w:r w:rsidDel="00000000" w:rsidR="00000000" w:rsidRPr="00000000">
                  <w:rPr>
                    <w:rtl w:val="0"/>
                  </w:rPr>
                  <w:t xml:space="preserve">israel general media bank chief west gaza lebanon british arab israeli emirates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after="0" w:before="0" w:lineRule="auto"/>
                  <w:ind w:left="0" w:firstLine="0"/>
                  <w:jc w:val="center"/>
                  <w:rPr/>
                </w:pPr>
                <w:r w:rsidDel="00000000" w:rsidR="00000000" w:rsidRPr="00000000">
                  <w:rPr>
                    <w:rtl w:val="0"/>
                  </w:rPr>
                  <w:t xml:space="preserve">3,794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spacing w:after="0" w:before="0" w:lineRule="auto"/>
                  <w:ind w:left="0" w:firstLine="0"/>
                  <w:rPr/>
                </w:pPr>
                <w:r w:rsidDel="00000000" w:rsidR="00000000" w:rsidRPr="00000000">
                  <w:rPr>
                    <w:rtl w:val="0"/>
                  </w:rPr>
                  <w:t xml:space="preserve">india delhi new pradesh minist governor senate colorado federal global michigan ece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spacing w:after="0" w:before="0" w:lineRule="auto"/>
                  <w:ind w:left="0" w:firstLine="0"/>
                  <w:jc w:val="center"/>
                  <w:rPr/>
                </w:pPr>
                <w:r w:rsidDel="00000000" w:rsidR="00000000" w:rsidRPr="00000000">
                  <w:rPr>
                    <w:rtl w:val="0"/>
                  </w:rPr>
                  <w:t xml:space="preserve">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spacing w:after="0" w:before="0" w:lineRule="auto"/>
                  <w:ind w:left="0" w:firstLine="0"/>
                  <w:rPr/>
                </w:pPr>
                <w:r w:rsidDel="00000000" w:rsidR="00000000" w:rsidRPr="00000000">
                  <w:rPr>
                    <w:rtl w:val="0"/>
                  </w:rPr>
                  <w:t xml:space="preserve">business university day cuba administration oklahoma singapore travel kansas arrest tax hawaii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spacing w:after="0" w:before="0" w:lineRule="auto"/>
                  <w:ind w:left="0" w:firstLine="0"/>
                  <w:jc w:val="center"/>
                  <w:rPr/>
                </w:pPr>
                <w:r w:rsidDel="00000000" w:rsidR="00000000" w:rsidRPr="00000000">
                  <w:rPr>
                    <w:rtl w:val="0"/>
                  </w:rPr>
                  <w:t xml:space="preserve">4,434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spacing w:after="0" w:before="0" w:lineRule="auto"/>
                  <w:ind w:left="0" w:firstLine="0"/>
                  <w:rPr/>
                </w:pPr>
                <w:r w:rsidDel="00000000" w:rsidR="00000000" w:rsidRPr="00000000">
                  <w:rPr>
                    <w:rtl w:val="0"/>
                  </w:rPr>
                  <w:t xml:space="preserve">states united columbia district washington government house illinois american spain home pennsylvania</w:t>
                </w:r>
              </w:p>
            </w:tc>
          </w:tr>
          <w:tr>
            <w:trPr>
              <w:cantSplit w:val="0"/>
              <w:trHeight w:val="1103.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spacing w:after="0" w:before="0" w:lineRule="auto"/>
                  <w:ind w:left="0" w:firstLine="0"/>
                  <w:jc w:val="center"/>
                  <w:rPr/>
                </w:pPr>
                <w:r w:rsidDel="00000000" w:rsidR="00000000" w:rsidRPr="00000000">
                  <w:rPr>
                    <w:rtl w:val="0"/>
                  </w:rPr>
                  <w:t xml:space="preserve">2,865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spacing w:after="0" w:before="0" w:lineRule="auto"/>
                  <w:ind w:left="0" w:firstLine="0"/>
                  <w:rPr/>
                </w:pPr>
                <w:r w:rsidDel="00000000" w:rsidR="00000000" w:rsidRPr="00000000">
                  <w:rPr>
                    <w:rtl w:val="0"/>
                  </w:rPr>
                  <w:t xml:space="preserve">france italy general nation philippines college death malaysia worker manila karnataka meeting</w:t>
                </w:r>
              </w:p>
            </w:tc>
          </w:tr>
        </w:tbl>
      </w:sdtContent>
    </w:sdt>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Se asigna a cada noticia el tema  de su documento representativo. Esto cuantifica la composición temática del corpus filtrado.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drawing>
          <wp:inline distB="114300" distT="114300" distL="114300" distR="114300">
            <wp:extent cx="4163378" cy="2453702"/>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163378" cy="2453702"/>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ind w:left="0" w:firstLine="0"/>
        <w:rPr/>
      </w:pPr>
      <w:bookmarkStart w:colFirst="0" w:colLast="0" w:name="_heading=h.2otniexy1wcs" w:id="35"/>
      <w:bookmarkEnd w:id="35"/>
      <w:r w:rsidDel="00000000" w:rsidR="00000000" w:rsidRPr="00000000">
        <w:rPr>
          <w:rtl w:val="0"/>
        </w:rPr>
        <w:t xml:space="preserve">4.2 </w:t>
      </w:r>
      <w:r w:rsidDel="00000000" w:rsidR="00000000" w:rsidRPr="00000000">
        <w:rPr>
          <w:smallCaps w:val="0"/>
          <w:rtl w:val="0"/>
        </w:rPr>
        <w:t xml:space="preserve">Decisiones técnicas</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Una vez establecidas las fuentes de datos y el filtrado correspondiente en el apartado anterior, el siguiente paso consiste en definir cómo se modela el problema desde un punto de vista arquitectural. Esta sección recoge las decisiones técnicas tomadas durante el diseño del sistema, junto con las alternativas que se valoraron y las razones que motivaron descartarlas. El proceso no ha sido lineal: varias de estas decisiones se discutieron en múltiples ocasiones y algunas se reformularon a medida que comprendíamos mejor las implicaciones de cada opción.</w:t>
      </w:r>
    </w:p>
    <w:p w:rsidR="00000000" w:rsidDel="00000000" w:rsidP="00000000" w:rsidRDefault="00000000" w:rsidRPr="00000000" w14:paraId="00000175">
      <w:pPr>
        <w:pStyle w:val="Heading3"/>
        <w:ind w:firstLine="709"/>
        <w:rPr/>
      </w:pPr>
      <w:bookmarkStart w:colFirst="0" w:colLast="0" w:name="_heading=h.ww7xvwuu1fqs" w:id="36"/>
      <w:bookmarkEnd w:id="36"/>
      <w:r w:rsidDel="00000000" w:rsidR="00000000" w:rsidRPr="00000000">
        <w:rPr>
          <w:rtl w:val="0"/>
        </w:rPr>
        <w:t xml:space="preserve">4.2.1 Modelado temporal del grafo</w:t>
      </w:r>
    </w:p>
    <w:p w:rsidR="00000000" w:rsidDel="00000000" w:rsidP="00000000" w:rsidRDefault="00000000" w:rsidRPr="00000000" w14:paraId="00000176">
      <w:pPr>
        <w:rPr/>
      </w:pPr>
      <w:r w:rsidDel="00000000" w:rsidR="00000000" w:rsidRPr="00000000">
        <w:rPr>
          <w:rtl w:val="0"/>
        </w:rPr>
        <w:t xml:space="preserve">El primer aspecto a resolver fue cómo incorporar la dimensión temporal al grafo. Los eventos geopolíticos no son fenómenos aislados que aparecen y desaparecen en un único día: una tensión entre dos países puede gestarse durante semanas, manifestarse en un evento concreto y prolongar sus efectos en el tiempo. Cualquier diseño que ignorase esta dinámica capturaría el problema de forma incompleta.</w:t>
      </w:r>
    </w:p>
    <w:p w:rsidR="00000000" w:rsidDel="00000000" w:rsidP="00000000" w:rsidRDefault="00000000" w:rsidRPr="00000000" w14:paraId="00000177">
      <w:pPr>
        <w:rPr/>
      </w:pPr>
      <w:r w:rsidDel="00000000" w:rsidR="00000000" w:rsidRPr="00000000">
        <w:rPr>
          <w:rtl w:val="0"/>
        </w:rPr>
        <w:t xml:space="preserve">En el campo de las Temporal Graph Neural Networks (TGNN) coexisten tres familias principales. La primera es la de los grafos dinámicos discretos (Discrete-Time Dynamic Graphs, DTDG), donde el tiempo se divide en intervalos y se construye un grafo independiente para cada uno de ellos. La temporalidad se modela en una segunda fase mediante una red recurrente que procesa la secuencia de representaciones vectoriales producida por la GNN. Este es el enfoque que utiliza, por ejemplo, Chen et al. (2023). Su principal limitación es que cada grafo "olvida" estructuralmente al anterior, y la memoria temporal queda relegada a la red recurrente posterior, fuera del propio grafo.</w:t>
      </w:r>
    </w:p>
    <w:p w:rsidR="00000000" w:rsidDel="00000000" w:rsidP="00000000" w:rsidRDefault="00000000" w:rsidRPr="00000000" w14:paraId="00000178">
      <w:pPr>
        <w:rPr/>
      </w:pPr>
      <w:r w:rsidDel="00000000" w:rsidR="00000000" w:rsidRPr="00000000">
        <w:rPr>
          <w:rtl w:val="0"/>
        </w:rPr>
        <w:t xml:space="preserve">La segunda familia, los grafos continuos (Continuous-Time Dynamic Graphs, CTDG), procesa cada evento con su timestamp exacto y mantiene un estado de memoria por nodo que se actualiza con cada nuevo evento. Aunque conceptualmente fiel a la naturaleza de GDELT, que se actualiza cada 15 minutos, esta granularidad resulta excesiva para una tarea cuya predicción es diaria. La complejidad adicional no compensa: introduciría coste computacional y de implementación sin un beneficio claro sobre el problema concreto que abordamos.</w:t>
      </w:r>
    </w:p>
    <w:p w:rsidR="00000000" w:rsidDel="00000000" w:rsidP="00000000" w:rsidRDefault="00000000" w:rsidRPr="00000000" w14:paraId="00000179">
      <w:pPr>
        <w:rPr/>
      </w:pPr>
      <w:r w:rsidDel="00000000" w:rsidR="00000000" w:rsidRPr="00000000">
        <w:rPr>
          <w:rtl w:val="0"/>
        </w:rPr>
        <w:t xml:space="preserve">La tercera opción, y la que finalmente adoptamos, consiste en mantener un único grafo persistente cuyas aristas se refuerzan con cada nuevo evento y decaen exponencialmente con el tiempo en ausencia de actividad. Esta formulación, inspirada en los procesos de Hawkes, captura de forma natural la idea de que una relación geopolítica activa hoy sigue siendo relevante durante los días siguientes, aunque cada vez con menos peso, hasta que nuevos eventos la revitalizan o desaparece. La elección de este enfoque no fue solo pragmática sino también teórica: encaja directamente con las tres fases del riesgo geopolítico (amenaza, realización y escalada) descritas por Caldara e Iacoviello (2022) en el marco teórico de este trabajo. Una arista entre dos países puede ir acumulando peso durante la fase de amenaza, dispararse en la realización y mantenerse alta durante la escalada, todo ello sin que el modelo necesite tratar cada día como un evento independiente.</w:t>
      </w:r>
    </w:p>
    <w:p w:rsidR="00000000" w:rsidDel="00000000" w:rsidP="00000000" w:rsidRDefault="00000000" w:rsidRPr="00000000" w14:paraId="0000017A">
      <w:pPr>
        <w:rPr/>
      </w:pPr>
      <w:r w:rsidDel="00000000" w:rsidR="00000000" w:rsidRPr="00000000">
        <w:rPr>
          <w:rtl w:val="0"/>
        </w:rPr>
        <w:t xml:space="preserve">Adicionalmente, los procesos de Hawkes son un modelo estocástico ampliamente utilizado en finanzas para modelar contagio entre mercados y otras dinámicas de auto-excitación. La conexión con literatura económica refuerza la elección: no se trata de una fórmula ad hoc, sino de una formulación que tiene precedente y validación en el campo.</w:t>
      </w:r>
    </w:p>
    <w:p w:rsidR="00000000" w:rsidDel="00000000" w:rsidP="00000000" w:rsidRDefault="00000000" w:rsidRPr="00000000" w14:paraId="0000017B">
      <w:pPr>
        <w:pStyle w:val="Heading3"/>
        <w:ind w:firstLine="709"/>
        <w:rPr/>
      </w:pPr>
      <w:bookmarkStart w:colFirst="0" w:colLast="0" w:name="_heading=h.mw8h81xfr84r" w:id="37"/>
      <w:bookmarkEnd w:id="37"/>
      <w:r w:rsidDel="00000000" w:rsidR="00000000" w:rsidRPr="00000000">
        <w:rPr>
          <w:rtl w:val="0"/>
        </w:rPr>
        <w:t xml:space="preserve">4.2.2 Integración del SP500: SP500 como nodo del grafo</w:t>
      </w:r>
    </w:p>
    <w:p w:rsidR="00000000" w:rsidDel="00000000" w:rsidP="00000000" w:rsidRDefault="00000000" w:rsidRPr="00000000" w14:paraId="0000017C">
      <w:pPr>
        <w:rPr/>
      </w:pPr>
      <w:r w:rsidDel="00000000" w:rsidR="00000000" w:rsidRPr="00000000">
        <w:rPr>
          <w:rtl w:val="0"/>
        </w:rPr>
        <w:t xml:space="preserve">La segunda decisión, y probablemente la más debatida durante el diseño, fue cómo integrar la información del SP500 con la información geopolítica del grafo. Aquí se valoraron tres opciones que representan grados crecientes de integración entre ambas modalidades, y cada una de ellas generó discusiones específicas que conviene recoger.</w:t>
      </w:r>
    </w:p>
    <w:p w:rsidR="00000000" w:rsidDel="00000000" w:rsidP="00000000" w:rsidRDefault="00000000" w:rsidRPr="00000000" w14:paraId="0000017D">
      <w:pPr>
        <w:rPr/>
      </w:pPr>
      <w:r w:rsidDel="00000000" w:rsidR="00000000" w:rsidRPr="00000000">
        <w:rPr>
          <w:rtl w:val="0"/>
        </w:rPr>
        <w:t xml:space="preserve">La primera opción, late fusion o fusión tardía, consiste en mantener dos ramas paralelas e independientes durante todo el procesamiento. Una GNN procesaría el grafo geopolítico produciendo una representaciones vectoriales, una LSTM procesaría las series temporales del SP500 produciendo otra representaciones vectoriales, y ambos se combinarían mediante concatenación justo antes de la capa de clasificación final. Esta arquitectura, conocida también como two-tower architecture, es ampliamente utilizada en problemas multimodales y resulta atractiva por su sencillez. Cada rama puede entrenarse y depurarse de forma independiente, los ablation studies son triviales (basta con eliminar una rama y reentrenar para medir su aportación), y las dos modalidades pueden tener escalas y naturalezas radicalmente distintas sin afectarse entre sí.</w:t>
      </w:r>
    </w:p>
    <w:p w:rsidR="00000000" w:rsidDel="00000000" w:rsidP="00000000" w:rsidRDefault="00000000" w:rsidRPr="00000000" w14:paraId="0000017E">
      <w:pPr>
        <w:rPr/>
      </w:pPr>
      <w:r w:rsidDel="00000000" w:rsidR="00000000" w:rsidRPr="00000000">
        <w:rPr>
          <w:rtl w:val="0"/>
        </w:rPr>
        <w:t xml:space="preserve">Sin embargo, conforme analizábamos esta opción con más detenimiento, fueron emergiendo dudas conceptuales importantes. La más fundamental es que las dos ramas nunca se hablan durante el procesamiento: la GNN procesa exclusivamente el grafo geopolítico, sin saber en ningún momento qué está haciendo el mercado, y la LSTM procesa exclusivamente las series financieras, sin saber en ningún momento qué está pasando geopolíticamente. La interacción entre ambas modalidades queda relegada a una única concatenación final, donde un MLP recibe dos vectores ya cerrados y debe aprender a combinarlos. Esto significa que el modelo solo puede capturar correlaciones tardías y agregadas entre las dos señales, pero pierde por completo las interacciones más finas: por ejemplo, no puede aprender que "una crisis energética rusa afecta especialmente al SP500 cuando el VIX está elevado" o que "un anuncio del Pentágono sobre China impacta de forma distinta según el momento del ciclo de tipos de interés". Estas interacciones cruzadas son precisamente las que más relevantes resultan para el problema, y la arquitectura de late fusion estructuralmente no puede representarlas.</w:t>
      </w:r>
    </w:p>
    <w:p w:rsidR="00000000" w:rsidDel="00000000" w:rsidP="00000000" w:rsidRDefault="00000000" w:rsidRPr="00000000" w14:paraId="0000017F">
      <w:pPr>
        <w:rPr/>
      </w:pPr>
      <w:r w:rsidDel="00000000" w:rsidR="00000000" w:rsidRPr="00000000">
        <w:rPr>
          <w:rtl w:val="0"/>
        </w:rPr>
        <w:t xml:space="preserve">A esta limitación conceptual se sumó una contradicción aparente con la propia tesis del trabajo. Si la hipótesis central es que la geopolítica contiene señal predictiva sobre los mercados, mantener la GNN procesando exclusivamente información geopolítica, sin que en ningún momento "vea" el estado del mercado, resulta poco coherente con esa narrativa. Un tribunal académico podría legítimamente preguntar por qué se ha elegido una arquitectura tan sofisticada como una GNN para procesar una sola modalidad, cuando la integración real entre las modalidades es la parte que aporta el valor diferencial. Late fusion, en este sentido, desaprovecha la estructura que se ha construido: el grafo geopolítico se queda como un módulo aislado que produce un vector, sin que el resto del sistema interactúe con él en ningún momento del procesamiento.</w:t>
      </w:r>
    </w:p>
    <w:p w:rsidR="00000000" w:rsidDel="00000000" w:rsidP="00000000" w:rsidRDefault="00000000" w:rsidRPr="00000000" w14:paraId="00000180">
      <w:pPr>
        <w:rPr/>
      </w:pPr>
      <w:r w:rsidDel="00000000" w:rsidR="00000000" w:rsidRPr="00000000">
        <w:rPr>
          <w:rtl w:val="0"/>
        </w:rPr>
        <w:t xml:space="preserve">Por último, considerábamos la ventaja de la modularidad pero también su contraparte. Es cierto que late fusion permite validar cada rama por separado, lo cual es útil durante el desarrollo. Pero esa misma modularidad implica que las dos modalidades operan en "compartimentos estancos", y la decisión de cómo y cuánto pesa cada una recae enteramente sobre la concatenación final, que es un punto del modelo con capacidad expresiva limitada en comparación con todo el procesamiento previo. En definitiva, late fusion es una arquitectura defendible pero conservadora, que probablemente funcionaría como baseline correcto pero que no aprovecharía el potencial completo de modelar el problema como un sistema integrado.</w:t>
      </w:r>
    </w:p>
    <w:p w:rsidR="00000000" w:rsidDel="00000000" w:rsidP="00000000" w:rsidRDefault="00000000" w:rsidRPr="00000000" w14:paraId="00000181">
      <w:pPr>
        <w:rPr/>
      </w:pPr>
      <w:r w:rsidDel="00000000" w:rsidR="00000000" w:rsidRPr="00000000">
        <w:rPr>
          <w:rtl w:val="0"/>
        </w:rPr>
        <w:t xml:space="preserve">La segunda opción, y la que finalmente elegimos, consiste en integrar el SP500 como un nodo adicional dentro del grafo heterogéneo. En esta arquitectura no hay rama paralela. El SP500 se convierte en un nodo de tipo distinto al de los países, con sus propias features financieras (retornos a distintos horizontes, volatilidad, volumen, indicadores macroeconómicos como el VIX o los tipos de interés), conectado a los nodos país mediante aristas específicas. La predicción de la dirección del mercado emerge de la representación vectoriales final de ese nodo tras el message passing.</w:t>
      </w:r>
    </w:p>
    <w:p w:rsidR="00000000" w:rsidDel="00000000" w:rsidP="00000000" w:rsidRDefault="00000000" w:rsidRPr="00000000" w14:paraId="00000182">
      <w:pPr>
        <w:rPr/>
      </w:pPr>
      <w:r w:rsidDel="00000000" w:rsidR="00000000" w:rsidRPr="00000000">
        <w:rPr>
          <w:rtl w:val="0"/>
        </w:rPr>
        <w:t xml:space="preserve">La ventaja conceptual de esta arquitectura es que las dos modalidades interactúan en cada iteración del procesamiento. En la primera capa de message passing, el nodo SP500 recibe mensajes de los países conectados, que llevan información geopolítica del día; al mismo tiempo, los nodos país reciben información del estado del mercado a través de las aristas que les conectan con el SP500. En la segunda capa, las representaciones vectoriales ya enriquecidos se vuelven a propagar, de forma que la representación vectoriales final del SP500 contiene una representación de "estado del mercado dado el contexto geopolítico actual", y las representaciones vectoriales de los países contienen una representación de "situación geopolítica dada la sensibilidad actual del mercado". Esta integración profunda es exactamente la que late fusion no puede capturar.</w:t>
      </w:r>
    </w:p>
    <w:p w:rsidR="00000000" w:rsidDel="00000000" w:rsidP="00000000" w:rsidRDefault="00000000" w:rsidRPr="00000000" w14:paraId="00000183">
      <w:pPr>
        <w:rPr/>
      </w:pPr>
      <w:r w:rsidDel="00000000" w:rsidR="00000000" w:rsidRPr="00000000">
        <w:rPr>
          <w:rtl w:val="0"/>
        </w:rPr>
        <w:t xml:space="preserve">A esta ventaja conceptual se añaden otras dos. La primera es la interpretabilidad directa: el mecanismo de atención del HGT permite, para cada predicción, obtener los coeficientes de atención que el modelo ha asignado a cada arista país-SP500. Esto significa que se puede responder a preguntas como "¿qué países influyeron más en la predicción del 24 de febrero de 2022?" con una respuesta numérica concreta y trazable. Esta propiedad es muy valiosa tanto para el análisis posterior de los resultados como para la defensa del trabajo: permite construir narrativas sobre casos concretos (por ejemplo, mostrar cómo la atención hacia Rusia se dispara durante la invasión de Ucrania) que son mucho más convincentes que métricas agregadas. La segunda ventaja adicional es la diferenciación frente al estado del arte. Chen et al. (2023), que es la referencia más cercana a nuestro trabajo, utiliza un esquema GNN-LSTM separado donde la GNN procesa el grafo y la LSTM procesa la secuencia temporal del mercado de forma posterior. Conceptualmente, esto equivale a una arquitectura de late fusion: el grafo y el target nunca interactúan dentro del mismo modelo. Al integrar el target dentro del grafo, nuestra propuesta se distingue claramente de este enfoque y cierra el segundo de los gaps identificados en el estado del arte, relativo a la centralidad de las relaciones entre países en lugar de entre empresas.</w:t>
      </w:r>
    </w:p>
    <w:p w:rsidR="00000000" w:rsidDel="00000000" w:rsidP="00000000" w:rsidRDefault="00000000" w:rsidRPr="00000000" w14:paraId="00000184">
      <w:pPr>
        <w:rPr/>
      </w:pPr>
      <w:r w:rsidDel="00000000" w:rsidR="00000000" w:rsidRPr="00000000">
        <w:rPr>
          <w:rtl w:val="0"/>
        </w:rPr>
        <w:t xml:space="preserve">La tercera opción, más ambiciosa, consistiría en sustituir el nodo SP500 único por los once sectores GICS del índice (Energy, Financials, Information Technology, Health Care, Industrials, etc.), cada uno como un nodo independiente con sus propias features (retornos sectoriales, volatilidad, peso en el índice), conectados a los países según su exposición geográfica. Esta opción aportaría una granularidad y una capacidad interpretativa muy superiores. En lugar de afirmar que "Rusia pesó X en la predicción del SP500", el modelo permitiría afirmar que "Rusia pesó X en Energy, Y en Industrials, Z en Consumer Staples", lo cual conecta directamente con el concepto de momentum spillover descrito en el estado del arte (Patel et al. 2025). La interpretabilidad resultante sería excepcional, y permitiría construir análisis casuísticos por sector, identificar qué subconjuntos del mercado son más sensibles a qué tipos de eventos geopolíticos, y validar si la estructura sectorial aprendida por el modelo coincide con la intuición económica.</w:t>
      </w:r>
    </w:p>
    <w:p w:rsidR="00000000" w:rsidDel="00000000" w:rsidP="00000000" w:rsidRDefault="00000000" w:rsidRPr="00000000" w14:paraId="00000185">
      <w:pPr>
        <w:rPr/>
      </w:pPr>
      <w:r w:rsidDel="00000000" w:rsidR="00000000" w:rsidRPr="00000000">
        <w:rPr>
          <w:rtl w:val="0"/>
        </w:rPr>
        <w:t xml:space="preserve">Esta opción, sin embargo, nos generó dudas serias durante el proceso de discusión. La primera duda fue sobre cómo construir las aristas país-sector. Valoramos tres alternativas. Una opción era conectar todos los países con todos los sectores y dejar que el modelo aprenda los pesos relevantes por atención; esto es viable pero introduce ruido considerable, ya que pasaríamos de unas decenas de aristas país-mercado a varios centenares de aristas país-sector. Una segunda opción era predefinir las aristas a partir de datos de exposición geográfica sectorial: cuánto de las ventas del sector tecnológico del SP500 proviene de China, cuánto del sector energético depende de Oriente Medio, y así sucesivamente. El problema es que estos datos no están disponibles de forma gratuita y limpia: las fuentes profesionales (FactSet, Refinitiv) son de pago, y las aproximaciones gratuitas (flujos comerciales de UN Comtrade) son imperfectas y requieren un trabajo de validación considerable. La tercera opción consistía en aristas dinámicas activadas por los temas tratados en los eventos GDELT, utilizando el Global Knowledge Graph (GKG) para mapear eventos a sectores según su contenido temático (eventos sobre petróleo a Energy, eventos sobre semiconductores a Information Technology, etc.). Esta última opción es elegante pero requiere incorporar el GKG al flujo de trabajo, lo cual implica trabajo adicional considerable: el GKG es significativamente más voluminoso que Events 2.0 (varios gigabytes diarios sin filtrar), su estructura interna es más compleja (campos serializados que requieren parsing), y exige construir un mapeo temas-sectores que también debe defenderse metodológicamente.</w:t>
      </w:r>
    </w:p>
    <w:p w:rsidR="00000000" w:rsidDel="00000000" w:rsidP="00000000" w:rsidRDefault="00000000" w:rsidRPr="00000000" w14:paraId="00000186">
      <w:pPr>
        <w:rPr/>
      </w:pPr>
      <w:r w:rsidDel="00000000" w:rsidR="00000000" w:rsidRPr="00000000">
        <w:rPr>
          <w:rtl w:val="0"/>
        </w:rPr>
        <w:t xml:space="preserve">La segunda duda fue sobre la viabilidad temporal. Al sumar todas estas decisiones (definir 11 nodos sectoriales, decidir cómo construir cada conjunto de aristas, validar la matriz de exposición resultante, incorporar el GKG al flujo de trabajo si optamos por la opción de aristas dinámicas, ampliar la cabeza de predicción de un nodo a once…), el coste adicional sobre la opción de un único nodo SP500 sería muy significativa. En un Trabajo Fin de Máster con plazo finito, esta inversión introduce un riesgo real de no llegar a entrenar el modelo a tiempo, o de tener que recortar la fase de evaluación, lo cual sería peor que un modelo más simple bien evaluado. Discutimos también el patrón típico del TFM ambicioso que dedica demasiado tiempo a la infraestructura y demasiado poco a los resultados, y consideramos que era un riesgo a evitar.</w:t>
      </w:r>
    </w:p>
    <w:p w:rsidR="00000000" w:rsidDel="00000000" w:rsidP="00000000" w:rsidRDefault="00000000" w:rsidRPr="00000000" w14:paraId="00000187">
      <w:pPr>
        <w:rPr/>
      </w:pPr>
      <w:r w:rsidDel="00000000" w:rsidR="00000000" w:rsidRPr="00000000">
        <w:rPr>
          <w:rtl w:val="0"/>
        </w:rPr>
        <w:t xml:space="preserve">La tercera duda fue sobre la robustez de la decisión. Incluso si lográramos completar la versión con sectores dentro del plazo, las decisiones metodológicas necesarias (¿qué criterio para conectar país-sector? ¿qué mapeo temas-sector? ¿cómo agregar las once predicciones sectoriales en la predicción del SP500 agregado?) constituirían superficie adicional de exposición ante el tribunal: cada decisión defendible es también una decisión que puede cuestionarse. La opción del nodo único, en comparación, presenta una superficie metodológica mucho menor.</w:t>
      </w:r>
    </w:p>
    <w:p w:rsidR="00000000" w:rsidDel="00000000" w:rsidP="00000000" w:rsidRDefault="00000000" w:rsidRPr="00000000" w14:paraId="00000188">
      <w:pPr>
        <w:rPr/>
      </w:pPr>
      <w:r w:rsidDel="00000000" w:rsidR="00000000" w:rsidRPr="00000000">
        <w:rPr>
          <w:rtl w:val="0"/>
        </w:rPr>
        <w:t xml:space="preserve">Por último, valoramos también el coste de oportunidad en relación con la migración futura. Discutimos qué supondría comenzar con el nodo único SP500 y, si los resultados lo justificasen, ampliar posteriormente a sectores GICS. Esta migración resulta significativamente más sencilla que partir de cero, ya que la mayor parte de la infraestructura del flujo de trabajo se mantiene: la ingesta de GDELT, la construcción del grafo geopolítico, el mecanismo de decay temporal, la familia arquitectural HGNN y el bucle de entrenamiento son reutilizables. Lo único que se modificaría es la estructura interna de los nodos de tipo mercado (uno frente a once) y la cabeza de predicción. Esta posibilidad de evolución incremental refuerza la decisión: empezar con la opción más sólida y manejable, dejando la versión sectorial como línea natural de trabajo futuro identificada explícitamente en las conclusiones.</w:t>
      </w:r>
    </w:p>
    <w:p w:rsidR="00000000" w:rsidDel="00000000" w:rsidP="00000000" w:rsidRDefault="00000000" w:rsidRPr="00000000" w14:paraId="00000189">
      <w:pPr>
        <w:rPr/>
      </w:pPr>
      <w:r w:rsidDel="00000000" w:rsidR="00000000" w:rsidRPr="00000000">
        <w:rPr>
          <w:rtl w:val="0"/>
        </w:rPr>
        <w:t xml:space="preserve">Con todas estas consideraciones, la elección final fue integrar el SP500 como un único nodo dentro del grafo heterogéneo. Esta opción combina el cruce profundo entre modalidades que late fusion no ofrece, la interpretabilidad vía atención, una diferenciación clara frente al estado del arte, y un nivel de complejidad compatible con los plazos de un Trabajo Fin de Máster. La versión con sectores GICS queda identificada como continuación natural del trabajo.</w:t>
      </w:r>
    </w:p>
    <w:p w:rsidR="00000000" w:rsidDel="00000000" w:rsidP="00000000" w:rsidRDefault="00000000" w:rsidRPr="00000000" w14:paraId="0000018A">
      <w:pPr>
        <w:pStyle w:val="Heading3"/>
        <w:ind w:firstLine="709"/>
        <w:rPr/>
      </w:pPr>
      <w:bookmarkStart w:colFirst="0" w:colLast="0" w:name="_heading=h.wh34d6bjvs29" w:id="38"/>
      <w:bookmarkEnd w:id="38"/>
      <w:r w:rsidDel="00000000" w:rsidR="00000000" w:rsidRPr="00000000">
        <w:rPr>
          <w:rtl w:val="0"/>
        </w:rPr>
        <w:t xml:space="preserve">4.2.3 Arquitectura del modelo: familia HGNN</w:t>
      </w:r>
    </w:p>
    <w:p w:rsidR="00000000" w:rsidDel="00000000" w:rsidP="00000000" w:rsidRDefault="00000000" w:rsidRPr="00000000" w14:paraId="0000018B">
      <w:pPr>
        <w:rPr/>
      </w:pPr>
      <w:r w:rsidDel="00000000" w:rsidR="00000000" w:rsidRPr="00000000">
        <w:rPr>
          <w:rtl w:val="0"/>
        </w:rPr>
        <w:t xml:space="preserve">La elección de integrar el SP500 como nodo en el grafo determina automáticamente la familia de arquitecturas a utilizar. Al tener dos tipos de nodos diferentes (países y mercado), con features de naturalezas distintas, y dos tipos de aristas (país-país y país-mercado), el grafo es heterogéneo por construcción. Las GNN homogéneas estándar (GCN, GAT, GraphSAGE) no son aplicables directamente porque asumen que todos los nodos comparten el mismo espacio de features y todas las aristas tienen la misma semántica.</w:t>
      </w:r>
    </w:p>
    <w:p w:rsidR="00000000" w:rsidDel="00000000" w:rsidP="00000000" w:rsidRDefault="00000000" w:rsidRPr="00000000" w14:paraId="0000018C">
      <w:pPr>
        <w:rPr/>
      </w:pPr>
      <w:r w:rsidDel="00000000" w:rsidR="00000000" w:rsidRPr="00000000">
        <w:rPr>
          <w:rtl w:val="0"/>
        </w:rPr>
        <w:t xml:space="preserve">Dentro de las Heterogeneous Graph Neural Networks (HGNN) existen varias arquitecturas relevantes. R-GCN (Relational GCN) extiende la GCN clásica utilizando una matriz de pesos distinta para cada tipo de relación, pero carece de mecanismo de atención, limitando tanto la interpretabilidad como la capacidad del modelo de modular dinámicamente la importancia de cada arista. HAN (Heterogeneous Attention Network) utiliza atención a dos niveles pero requiere definir metapaths predefinidos, es decir, secuencias de tipos de relaciones (por ejemplo, país-evento-país), lo que añade decisiones metodológicas que para un grafo relativamente simple como el nuestro resultan innecesarias. HGT (Heterogeneous Graph Transformer) y HeteroGAT son las dos arquitecturas que mejor encajan con los objetivos del trabajo: ambas incorporan atención específica por tipo de nodo y arista, lo que las hace adecuadas tanto para capturar la importancia variable de cada interacción como para producir resultados interpretables.</w:t>
      </w:r>
    </w:p>
    <w:p w:rsidR="00000000" w:rsidDel="00000000" w:rsidP="00000000" w:rsidRDefault="00000000" w:rsidRPr="00000000" w14:paraId="0000018D">
      <w:pPr>
        <w:rPr/>
      </w:pPr>
      <w:r w:rsidDel="00000000" w:rsidR="00000000" w:rsidRPr="00000000">
        <w:rPr>
          <w:rtl w:val="0"/>
        </w:rPr>
        <w:t xml:space="preserve">La decisión final entre HGT y HeteroGAT no se ha cerrado a nivel arquitectural y se determinará empíricamente durante la fase de implementación, dado que ambas son técnicamente válidas. HeteroGAT puede obtenerse de forma sencilla aplicando la función to_hetero() de PyTorch Geometric a un GAT estándar, lo cual facilita el desarrollo. HGT es ligeramente más expresivo al utilizar atención específica por tipo de nodo y por tipo de arista. Esta decisión menor se reserva como ajuste empírico una vez implementado el flujo de trabajo básico.</w:t>
      </w:r>
    </w:p>
    <w:p w:rsidR="00000000" w:rsidDel="00000000" w:rsidP="00000000" w:rsidRDefault="00000000" w:rsidRPr="00000000" w14:paraId="0000018E">
      <w:pPr>
        <w:pStyle w:val="Heading3"/>
        <w:ind w:firstLine="709"/>
        <w:rPr/>
      </w:pPr>
      <w:bookmarkStart w:colFirst="0" w:colLast="0" w:name="_heading=h.87sbbxtj0bd7" w:id="39"/>
      <w:bookmarkEnd w:id="39"/>
      <w:r w:rsidDel="00000000" w:rsidR="00000000" w:rsidRPr="00000000">
        <w:rPr>
          <w:rtl w:val="0"/>
        </w:rPr>
        <w:t xml:space="preserve">4.2.4 Diseño topológico de nodos y aristas</w:t>
      </w:r>
    </w:p>
    <w:p w:rsidR="00000000" w:rsidDel="00000000" w:rsidP="00000000" w:rsidRDefault="00000000" w:rsidRPr="00000000" w14:paraId="0000018F">
      <w:pPr>
        <w:rPr/>
      </w:pPr>
      <w:r w:rsidDel="00000000" w:rsidR="00000000" w:rsidRPr="00000000">
        <w:rPr>
          <w:rtl w:val="0"/>
        </w:rPr>
        <w:t xml:space="preserve">Una vez fijada la familia arquitectural, surgieron varias decisiones de diseño sobre la estructura concreta del grafo. Estas decisiones no son evidentes a priori y requirieron deliberación.</w:t>
      </w:r>
    </w:p>
    <w:p w:rsidR="00000000" w:rsidDel="00000000" w:rsidP="00000000" w:rsidRDefault="00000000" w:rsidRPr="00000000" w14:paraId="00000190">
      <w:pPr>
        <w:rPr/>
      </w:pPr>
      <w:r w:rsidDel="00000000" w:rsidR="00000000" w:rsidRPr="00000000">
        <w:rPr>
          <w:rtl w:val="0"/>
        </w:rPr>
        <w:t xml:space="preserve">Sobre el número de nodos. GDELT registra eventos para más de doscientos países y territorios. Una primera intuición era incluir todos ellos como nodos, dejando que el modelo aprendiera por sí mismo qué países son relevantes para el SP500. Sin embargo, identificamos un problema importante: si la mayoría de los nodos son irrelevantes para el target la mayor parte del tiempo, los mensajes geopolíticamente significativos (los provenientes de Estados Unidos, China, Rusia, etc.) se diluyen en un mar de ruido proveniente de países cuyos eventos rara vez tienen impacto medible en el mercado estadounidense. Esto reduce la relación señal-ruido del grafo y obliga al modelo a invertir capacidad en aprender que la mayoría de países son irrelevantes, en lugar de afinar las relaciones que sí importan. Por esta razón se decidió trabajar con un conjunto reducido de aproximadamente veinte nodos seleccionados por su relevancia económica y geopolítica para el SP500. Esta decisión no se aplica solo a la eficiencia computacional, sino sobre todo a la calidad de la señal que recibe el modelo.</w:t>
      </w:r>
    </w:p>
    <w:p w:rsidR="00000000" w:rsidDel="00000000" w:rsidP="00000000" w:rsidRDefault="00000000" w:rsidRPr="00000000" w14:paraId="00000191">
      <w:pPr>
        <w:rPr/>
      </w:pPr>
      <w:r w:rsidDel="00000000" w:rsidR="00000000" w:rsidRPr="00000000">
        <w:rPr>
          <w:rtl w:val="0"/>
        </w:rPr>
        <w:t xml:space="preserve">Sobre entidades supranacionales. Algunos actores geopolíticos no se ajustan al concepto de país individual, pero tienen efectos directos en los mercados. Discutimos especialmente tres casos. La Unión Europea se decidió incluir como nodo independiente porque GDELT etiqueta directamente eventos a la UE como entidad, sus decisiones económicas (política monetaria del BCE, sanciones, regulación) tienen efecto inmediato sobre los mercados, y agregar esos eventos a los países miembros distorsionaría su significado. La OPEP+ se incluye condicionalmente, dependiendo de su volumen de eventos en GDELT, por su efecto directo en los mercados energéticos. La OTAN, en cambio, se decidió no incluir: aunque toma decisiones colectivas relevantes, presenta un solapamiento informacional significativo con Estados Unidos (la mayor parte de eventos OTAN coinciden con eventos estadounidenses), y esa información se captura mejor a través del tipado de aristas militares entre USA y otros países.</w:t>
      </w:r>
    </w:p>
    <w:p w:rsidR="00000000" w:rsidDel="00000000" w:rsidP="00000000" w:rsidRDefault="00000000" w:rsidRPr="00000000" w14:paraId="00000192">
      <w:pPr>
        <w:rPr/>
      </w:pPr>
      <w:r w:rsidDel="00000000" w:rsidR="00000000" w:rsidRPr="00000000">
        <w:rPr>
          <w:rtl w:val="0"/>
        </w:rPr>
        <w:t xml:space="preserve">Sobre subnodos institucionales dentro de Estados Unidos. Al ser Estados Unidos el país sobre cuyo mercado se realiza la predicción, surgió la pregunta de si convendría representarlo con mayor resolución interna, mediante subnodos del tipo Pentágono, Reserva Federal, Congreso o Silicon Valley. Discutimos esta opción con cierto detalle. La motivación era capturar la heterogeneidad interna de un actor que es a la vez militar, monetario, legislativo y empresarial. Sin embargo, el análisis técnico mostró que esta descomposición no aporta capacidad expresiva real sobre la alternativa de tener un único nodo Estados Unidos con aristas tipadas según la naturaleza del evento. Si una arista USA-Rusia está etiquetada como "militar" mediante el código CAMEO correspondiente, el mecanismo de atención del HGT puede aprender a tratarla de forma distinta a una arista USA-China etiquetada como "comercial", sin necesidad de fragmentar Estados Unidos en subnodos. Añadir subnodos significaría introducir parámetros adicionales y decisiones metodológicas difíciles de justificar sin un beneficio claro en términos de expresividad del modelo.</w:t>
      </w:r>
    </w:p>
    <w:p w:rsidR="00000000" w:rsidDel="00000000" w:rsidP="00000000" w:rsidRDefault="00000000" w:rsidRPr="00000000" w14:paraId="00000193">
      <w:pPr>
        <w:rPr/>
      </w:pPr>
      <w:r w:rsidDel="00000000" w:rsidR="00000000" w:rsidRPr="00000000">
        <w:rPr>
          <w:rtl w:val="0"/>
        </w:rPr>
        <w:t xml:space="preserve">Sobre la topología de aristas país-SP500. Aquí también consideramos varias alternativas. La opción más sencilla era conectar todos los países al SP500 con peso uniforme, dejando que el modelo aprendiera por atención cuáles son más relevantes. La opción opuesta consistía en conectar solo Estados Unidos al SP500, dejando que la información del resto del mundo llegue al mercado a través de Estados Unidos vía sucesivas iteraciones del message passing. Una tercera alternativa consistía en aristas dinámicas que se activan solo los días en que un país tiene eventos relevantes. Finalmente optamos por una opción intermedia: todos los países conectados al SP500, pero con pesos iniciales informados por el comercio bilateral con Estados Unidos. Esto proporciona al modelo un prior razonable que acelera la convergencia, evita el cuello de botella que supondría que toda la información del mundo tenga que pasar por la representación vectoriales de Estados Unidos antes de llegar al mercado, y mantiene la posibilidad de que el modelo refine implícitamente esos pesos vía atención. Los pesos en sí no son entrenables; lo que el modelo aprende es cómo combinar la información de las aristas con el resto del grafo. La opción de aristas dinámicas se identifica como posible mejora futura.</w:t>
      </w:r>
    </w:p>
    <w:p w:rsidR="00000000" w:rsidDel="00000000" w:rsidP="00000000" w:rsidRDefault="00000000" w:rsidRPr="00000000" w14:paraId="00000194">
      <w:pPr>
        <w:rPr/>
      </w:pPr>
      <w:r w:rsidDel="00000000" w:rsidR="00000000" w:rsidRPr="00000000">
        <w:rPr>
          <w:rtl w:val="0"/>
        </w:rPr>
        <w:t xml:space="preserve">Sobre el tipado de las aristas país-país. Dado que GDELT clasifica cada evento según los códigos CAMEO, surgió la pregunta de si tratar todas las aristas como genéricas o tipificarlas según la naturaleza del evento. Optamos por la segunda opción. El tipado permite al modelo distinguir eventos militares, comerciales, diplomáticos o legislativos sin necesidad de añadir subnodos institucionales, capturando esa misma riqueza semántica de forma mucho más eficiente. El nivel concreto de granularidad (cuatro categorías de QuadClass o veinte de EventRootCode) se decidirá empíricamente en función del volumen de eventos en cada categoría tras el filtrado.</w:t>
      </w:r>
    </w:p>
    <w:p w:rsidR="00000000" w:rsidDel="00000000" w:rsidP="00000000" w:rsidRDefault="00000000" w:rsidRPr="00000000" w14:paraId="00000195">
      <w:pPr>
        <w:pStyle w:val="Heading3"/>
        <w:ind w:firstLine="709"/>
        <w:rPr/>
      </w:pPr>
      <w:bookmarkStart w:colFirst="0" w:colLast="0" w:name="_heading=h.tkvhj78sltwd" w:id="40"/>
      <w:bookmarkEnd w:id="40"/>
      <w:r w:rsidDel="00000000" w:rsidR="00000000" w:rsidRPr="00000000">
        <w:rPr>
          <w:rtl w:val="0"/>
        </w:rPr>
        <w:t xml:space="preserve">4.2.5 Régimen de datos y dimensionamiento del modelo</w:t>
      </w:r>
    </w:p>
    <w:p w:rsidR="00000000" w:rsidDel="00000000" w:rsidP="00000000" w:rsidRDefault="00000000" w:rsidRPr="00000000" w14:paraId="00000196">
      <w:pPr>
        <w:rPr/>
      </w:pPr>
      <w:r w:rsidDel="00000000" w:rsidR="00000000" w:rsidRPr="00000000">
        <w:rPr>
          <w:rtl w:val="0"/>
        </w:rPr>
        <w:t xml:space="preserve">Una consideración transversal que condiciona el diseño completo es el régimen de datos en el que opera el problema. Con aproximadamente diez años de datos diarios y un esquema de validación walk-forward, el número de muestras de entrenamiento efectivo se sitúa en torno a las dos mil. En el contexto del deep learning moderno, esta cantidad es modesta. La heurística común sugiere disponer al menos de diez a cien veces más muestras que parámetros entrenables del modelo, criterio que limita el tamaño práctico de la arquitectura a la decena o cientos de miles de parámetros.</w:t>
      </w:r>
    </w:p>
    <w:p w:rsidR="00000000" w:rsidDel="00000000" w:rsidP="00000000" w:rsidRDefault="00000000" w:rsidRPr="00000000" w14:paraId="00000197">
      <w:pPr>
        <w:rPr/>
      </w:pPr>
      <w:r w:rsidDel="00000000" w:rsidR="00000000" w:rsidRPr="00000000">
        <w:rPr>
          <w:rtl w:val="0"/>
        </w:rPr>
        <w:t xml:space="preserve">Comparando con trabajos similares en el estado del arte (HATS, Chen et al. 2023, FSTGAT), el régimen es comparable: estos trabajos operan también con cantidades modestas de datos diarios sobre conjuntos limitados de activos, y son técnicamente viables. La conclusión es que el problema no es impracticable, pero sí exige un diseño cuidadoso en varios frentes.</w:t>
      </w:r>
    </w:p>
    <w:p w:rsidR="00000000" w:rsidDel="00000000" w:rsidP="00000000" w:rsidRDefault="00000000" w:rsidRPr="00000000" w14:paraId="00000198">
      <w:pPr>
        <w:rPr/>
      </w:pPr>
      <w:r w:rsidDel="00000000" w:rsidR="00000000" w:rsidRPr="00000000">
        <w:rPr>
          <w:rtl w:val="0"/>
        </w:rPr>
        <w:t xml:space="preserve">Las decisiones tomadas para mitigar las consecuencias de este régimen son varias. En primer lugar, el modelo se mantendrá deliberadamente pequeño, con representaciones vectoriales de dimensión moderada (entre 32 y 128) y un número limitado de capas de message passing (dos o tres). En segundo lugar, se aplicará regularización fuerte: dropout entre el 30% y el 50%, weight decay, y parada temprana basada en la métrica de validación. En tercer lugar, los pesos de las aristas país-SP500 se mantienen estáticos (no entrenables) precisamente para no añadir parámetros innecesarios al modelo. En cuarto lugar, la evaluación se realizará con múltiples semillas aleatorias (entre tres y cinco) reportando la varianza de las métricas, lo cual ofrece una visión realista del rendimiento esperado y de su estabilidad. Por último, el esquema de validación walk-forward respeta la naturaleza temporal del problema, evitando el leakage que se produciría con un k-fold estándar.</w:t>
      </w:r>
    </w:p>
    <w:p w:rsidR="00000000" w:rsidDel="00000000" w:rsidP="00000000" w:rsidRDefault="00000000" w:rsidRPr="00000000" w14:paraId="00000199">
      <w:pPr>
        <w:rPr/>
      </w:pPr>
      <w:r w:rsidDel="00000000" w:rsidR="00000000" w:rsidRPr="00000000">
        <w:rPr>
          <w:rtl w:val="0"/>
        </w:rPr>
        <w:t xml:space="preserve">Reconocer explícitamente el régimen de datos limitados y diseñar el sistema en consecuencia no es una limitación del trabajo sino una decisión metodológica consciente. Un modelo sobredimensionado para los datos disponibles no produciría mejores resultados sino los contrarios: aprendería a memorizar el conjunto de entrenamiento sin generalizar al conjunto de prueba.</w:t>
      </w:r>
    </w:p>
    <w:p w:rsidR="00000000" w:rsidDel="00000000" w:rsidP="00000000" w:rsidRDefault="00000000" w:rsidRPr="00000000" w14:paraId="0000019A">
      <w:pPr>
        <w:pStyle w:val="Heading2"/>
        <w:ind w:left="0" w:firstLine="0"/>
        <w:rPr/>
      </w:pPr>
      <w:bookmarkStart w:colFirst="0" w:colLast="0" w:name="_heading=h.xu0pzwj2buih" w:id="41"/>
      <w:bookmarkEnd w:id="41"/>
      <w:r w:rsidDel="00000000" w:rsidR="00000000" w:rsidRPr="00000000">
        <w:rPr>
          <w:rtl w:val="0"/>
        </w:rPr>
        <w:t xml:space="preserve">4.3 </w:t>
      </w:r>
      <w:r w:rsidDel="00000000" w:rsidR="00000000" w:rsidRPr="00000000">
        <w:rPr>
          <w:smallCaps w:val="0"/>
          <w:rtl w:val="0"/>
        </w:rPr>
        <w:t xml:space="preserve">Arquitectura final</w:t>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Tras justificar en el apartado anterior las decisiones técnicas y las alternativas descartadas, esta sección describe el sistema de forma integrada. Mientras que el apartado de decisiones técnicas respondía al porqué de cada decisión, este describe el qué: la estructura concreta del grafo, su evolución temporal, el modelo que lo procesa y el procedimiento de entrenamiento y evaluación. </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pStyle w:val="Heading3"/>
        <w:ind w:firstLine="709"/>
        <w:rPr/>
      </w:pPr>
      <w:bookmarkStart w:colFirst="0" w:colLast="0" w:name="_heading=h.57luwjr0to7f" w:id="42"/>
      <w:bookmarkEnd w:id="42"/>
      <w:r w:rsidDel="00000000" w:rsidR="00000000" w:rsidRPr="00000000">
        <w:rPr>
          <w:rtl w:val="0"/>
        </w:rPr>
        <w:t xml:space="preserve">4.3.1 Visión general del sistema</w:t>
      </w:r>
    </w:p>
    <w:p w:rsidR="00000000" w:rsidDel="00000000" w:rsidP="00000000" w:rsidRDefault="00000000" w:rsidRPr="00000000" w14:paraId="0000019E">
      <w:pPr>
        <w:ind w:left="0" w:firstLine="0"/>
        <w:rPr/>
      </w:pPr>
      <w:r w:rsidDel="00000000" w:rsidR="00000000" w:rsidRPr="00000000">
        <w:rPr>
          <w:rtl w:val="0"/>
        </w:rPr>
        <w:t xml:space="preserve">El sistema toma como entrada, para cada día de mercado, dos fuentes de información: los eventos geopolíticos registrados por GDELT hasta ese día (ya filtrados según el procedimiento descrito en el apartado 4.1) y el estado financiero del mercado en esa misma fecha. A partir de ellos se construye un grafo heterogéneo que representa el estado del mundo en ese momento: los nodos país recogen la situación de cada actor geopolítico, las aristas entre países recogen sus interacciones recientes con la memoria temporal acumulada, y un nodo de tipo mercado recoge el estado del SP500. Este grafo se procesa mediante una red neuronal de grafos heterogénea (HGNN), que produce una representación vectorial para cada nodo. La representación vectoriales del nodo mercado se utiliza finalmente para predecir la dirección del SP500 en la sesión siguiente, clasificándose en una de tres categorías: subida, bajada o neutro.</w:t>
      </w:r>
    </w:p>
    <w:p w:rsidR="00000000" w:rsidDel="00000000" w:rsidP="00000000" w:rsidRDefault="00000000" w:rsidRPr="00000000" w14:paraId="0000019F">
      <w:pPr>
        <w:ind w:left="0" w:firstLine="0"/>
        <w:rPr/>
      </w:pPr>
      <w:r w:rsidDel="00000000" w:rsidR="00000000" w:rsidRPr="00000000">
        <w:rPr>
          <w:rtl w:val="0"/>
        </w:rPr>
        <w:t xml:space="preserve">El sistema con el grafo del día t, produce directamente la predicción para el día t+1 sin pasos intermedios de procesamiento manual. La separación entre la construcción del grafo (que incorpora la lógica de decay temporal) y el modelo que lo procesa permite además experimentar con ambos componentes de forma relativamente independient</w:t>
      </w:r>
      <w:sdt>
        <w:sdtPr>
          <w:id w:val="-537564330"/>
          <w:tag w:val="goog_rdk_5"/>
        </w:sdtPr>
        <w:sdtContent>
          <w:commentRangeStart w:id="4"/>
        </w:sdtContent>
      </w:sdt>
      <w:r w:rsidDel="00000000" w:rsidR="00000000" w:rsidRPr="00000000">
        <w:rPr>
          <w:rtl w:val="0"/>
        </w:rPr>
        <w:t xml:space="preserve">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pStyle w:val="Heading3"/>
        <w:ind w:firstLine="709"/>
        <w:rPr/>
      </w:pPr>
      <w:bookmarkStart w:colFirst="0" w:colLast="0" w:name="_heading=h.jdxi1tez419n" w:id="43"/>
      <w:bookmarkEnd w:id="43"/>
      <w:r w:rsidDel="00000000" w:rsidR="00000000" w:rsidRPr="00000000">
        <w:rPr>
          <w:rtl w:val="0"/>
        </w:rPr>
        <w:t xml:space="preserve">4.3.2 Estructura del grafo heterogéneo</w:t>
      </w:r>
    </w:p>
    <w:p w:rsidR="00000000" w:rsidDel="00000000" w:rsidP="00000000" w:rsidRDefault="00000000" w:rsidRPr="00000000" w14:paraId="000001A2">
      <w:pPr>
        <w:ind w:left="0" w:firstLine="0"/>
        <w:rPr/>
      </w:pPr>
      <w:r w:rsidDel="00000000" w:rsidR="00000000" w:rsidRPr="00000000">
        <w:rPr>
          <w:rtl w:val="0"/>
        </w:rPr>
        <w:t xml:space="preserve">El grafo se define como un grafo heterogéneo, es decir, un grafo que contiene más de un tipo de nodo y más de un tipo de arista. Además del conjunto de nodos y aristas habituales, se especifican una función que asigna a cada nodo su tipo y una función que asigna a cada arista el suyo.</w:t>
      </w:r>
    </w:p>
    <w:p w:rsidR="00000000" w:rsidDel="00000000" w:rsidP="00000000" w:rsidRDefault="00000000" w:rsidRPr="00000000" w14:paraId="000001A3">
      <w:pPr>
        <w:ind w:left="0" w:firstLine="0"/>
        <w:rPr/>
      </w:pPr>
      <w:r w:rsidDel="00000000" w:rsidR="00000000" w:rsidRPr="00000000">
        <w:rPr>
          <w:rtl w:val="0"/>
        </w:rPr>
        <w:t xml:space="preserve">En cuanto a tipos de nodos, el grafo contiene dos tipos: el primero es el tipo país, que agrupa aproximadamente una veintena de actores geopolíticos seleccionados por su relevancia para el mercado estadounidense, incluyendo tanto países individuales como entidades supranacionales (la Unión Europea y, condicionalmente, la OPEP+). El número y la composición exacta de este conjunto dependen del análisis exploratorio inicial y no se cierran a nivel arquitectónico. El segundo es el tipo mercado, representado por un único nodo correspondiente al SP500.</w:t>
      </w:r>
    </w:p>
    <w:p w:rsidR="00000000" w:rsidDel="00000000" w:rsidP="00000000" w:rsidRDefault="00000000" w:rsidRPr="00000000" w14:paraId="000001A4">
      <w:pPr>
        <w:ind w:left="0" w:firstLine="0"/>
        <w:rPr/>
      </w:pPr>
      <w:r w:rsidDel="00000000" w:rsidR="00000000" w:rsidRPr="00000000">
        <w:rPr>
          <w:rtl w:val="0"/>
        </w:rPr>
        <w:t xml:space="preserve">En cuanto a artistas, contiene dos tipos de aristas: las aristas país-país, que representan las interacciones geopolíticas registradas por GDELT entre dos actores, y son aristas tipadas según la naturaleza del evento, es decir, la información que aporta el sistema de codificación CAMEO permite distinguir, por ejemplo, interacciones de naturaleza cooperativa frente a conflictiva, o militar frente a diplomática. El nivel de granularidad de este tipado (las cuatro categorías de QuadClass o las veinte de EventRootCode) se determinará empíricamente. Las aristas país-mercado son el segundo tipo, conectan cada nodo país con el nodo SP500 y representan la exposición estructural del mercado a cada actor.</w:t>
      </w:r>
    </w:p>
    <w:p w:rsidR="00000000" w:rsidDel="00000000" w:rsidP="00000000" w:rsidRDefault="00000000" w:rsidRPr="00000000" w14:paraId="000001A5">
      <w:pPr>
        <w:ind w:left="0" w:firstLine="0"/>
        <w:rPr/>
      </w:pPr>
      <w:r w:rsidDel="00000000" w:rsidR="00000000" w:rsidRPr="00000000">
        <w:rPr>
          <w:rtl w:val="0"/>
        </w:rPr>
        <w:t xml:space="preserve">En cuanto a características, cada nodo lleva asociado un vector de características (features) que describe su estado. Para los nodos de tipo país, estas características recogen la situación geopolítica del actor en el día correspondiente: previsiblemente incluirán agregados derivados de GDELT como el tono mediático medio, el número de eventos en que participa, o medidas de intensidad como la escala de Goldstein agregada, junto con posibles atributos económicos básicos como el peso del país en el producto interior bruto mundial. El nodo correspondiente a Estados Unidos constituye un caso especial: por ser el país sobre cuyo mercado se predice, se contempla enriquecerlo con características macroeconómicas adicionales que el resto de países no tendrían, como la tasa de la Reserva Federal, los rendimientos de los bonos del Tesoro, la inflación o indicadores de actividad. El nodo de tipo mercado lleva características de naturaleza financiera: retornos a distintos horizontes temporales, medidas de volatilidad, volumen e indicadores de mercado como el VIX o el índice del dólar.</w:t>
      </w:r>
    </w:p>
    <w:p w:rsidR="00000000" w:rsidDel="00000000" w:rsidP="00000000" w:rsidRDefault="00000000" w:rsidRPr="00000000" w14:paraId="000001A6">
      <w:pPr>
        <w:ind w:left="0" w:firstLine="0"/>
        <w:rPr/>
      </w:pPr>
      <w:r w:rsidDel="00000000" w:rsidR="00000000" w:rsidRPr="00000000">
        <w:rPr>
          <w:rtl w:val="0"/>
        </w:rPr>
        <w:t xml:space="preserve">Las aristas también llevan información asociada. Las aristas país-país incorporan los atributos agregados de los eventos correspondientes (intensidad, tono y volumen de menciones), una vez aplicada la lógica de decay temporal descrita en el siguiente apartado. Las aristas país-mercado incorporan una medida de exposición, cuya base será el comercio bilateral con Estados Unidos, posiblemente complementada con otras señales de relevancia económica. A diferencia de los pesos del modelo, estos atributos de arista no son parámetros entrenables, sino información de e</w:t>
      </w:r>
      <w:sdt>
        <w:sdtPr>
          <w:id w:val="1213580279"/>
          <w:tag w:val="goog_rdk_6"/>
        </w:sdtPr>
        <w:sdtContent>
          <w:commentRangeStart w:id="5"/>
        </w:sdtContent>
      </w:sdt>
      <w:r w:rsidDel="00000000" w:rsidR="00000000" w:rsidRPr="00000000">
        <w:rPr>
          <w:rtl w:val="0"/>
        </w:rPr>
        <w:t xml:space="preserve">ntrada.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pStyle w:val="Heading3"/>
        <w:ind w:firstLine="709"/>
        <w:rPr/>
      </w:pPr>
      <w:bookmarkStart w:colFirst="0" w:colLast="0" w:name="_heading=h.2uaqhsx440jc" w:id="44"/>
      <w:bookmarkEnd w:id="44"/>
      <w:r w:rsidDel="00000000" w:rsidR="00000000" w:rsidRPr="00000000">
        <w:rPr>
          <w:rtl w:val="0"/>
        </w:rPr>
        <w:t xml:space="preserve">4.3.3 Evolución temporal: refuerzo y decaimiento de las aristas</w:t>
      </w:r>
    </w:p>
    <w:p w:rsidR="00000000" w:rsidDel="00000000" w:rsidP="00000000" w:rsidRDefault="00000000" w:rsidRPr="00000000" w14:paraId="000001A9">
      <w:pPr>
        <w:ind w:left="0" w:firstLine="0"/>
        <w:rPr/>
      </w:pPr>
      <w:r w:rsidDel="00000000" w:rsidR="00000000" w:rsidRPr="00000000">
        <w:rPr>
          <w:rtl w:val="0"/>
        </w:rPr>
        <w:t xml:space="preserve">El componente que dota al grafo de memoria temporal es el mecanismo de refuerzo y decaimiento de las aristas país-país inspirado en los procesos de Hawkes. En esencia, el peso de cada arista se intensifica con cada nuevo evento entre los dos actores y se atenúa gradualmente en su ausencia, de modo que una relación geopolítica mantiene una presencia continua en el grafo en lugar de aparecer y desaparecer con cada noticia.</w:t>
      </w:r>
    </w:p>
    <w:p w:rsidR="00000000" w:rsidDel="00000000" w:rsidP="00000000" w:rsidRDefault="00000000" w:rsidRPr="00000000" w14:paraId="000001AA">
      <w:pPr>
        <w:ind w:left="0" w:firstLine="0"/>
        <w:rPr/>
      </w:pPr>
      <w:r w:rsidDel="00000000" w:rsidR="00000000" w:rsidRPr="00000000">
        <w:rPr>
          <w:rtl w:val="0"/>
        </w:rPr>
        <w:t xml:space="preserve">Tanto la forma concreta de medir la intensidad de cada evento como la velocidad a la que su influencia decae son aspectos que se ajustarán durante la experimentación. La velocidad de decaimiento, en particular, se tratará como un hiperparámetro a explorar, evaluando distintas "vidas medias" de la memoria del grafo (del orden de pocos días a varias semanas) para determinar cuál ofrece mejor capacidad predictiva. Esta exploración constituye en sí misma un resultado de interés, ya que informa sobre la escala temporal a la que la información geopolítica resulta más relevante para el mercado.</w:t>
      </w:r>
    </w:p>
    <w:p w:rsidR="00000000" w:rsidDel="00000000" w:rsidP="00000000" w:rsidRDefault="00000000" w:rsidRPr="00000000" w14:paraId="000001AB">
      <w:pPr>
        <w:ind w:left="0" w:firstLine="0"/>
        <w:rPr/>
      </w:pPr>
      <w:r w:rsidDel="00000000" w:rsidR="00000000" w:rsidRPr="00000000">
        <w:rPr>
          <w:rtl w:val="0"/>
        </w:rPr>
        <w:t xml:space="preserve">A diferencia de las aristas país-país, las aristas país-mercado no están sujetas a este mecanismo, ya que representan una exposición estructural y no una interacción puntual. Operativamente, el grafo se reconstruye para cada día de mercado a partir del histórico de eventos acumulado hasta esa fecha; conceptualmente, sin embargo, se trata de un único grafo persistente cuya configuración evoluciona en el tiempo, y no de una sucesión de grafos independientes.</w:t>
      </w:r>
    </w:p>
    <w:p w:rsidR="00000000" w:rsidDel="00000000" w:rsidP="00000000" w:rsidRDefault="00000000" w:rsidRPr="00000000" w14:paraId="000001AC">
      <w:pPr>
        <w:pStyle w:val="Heading3"/>
        <w:ind w:firstLine="709"/>
        <w:rPr/>
      </w:pPr>
      <w:bookmarkStart w:colFirst="0" w:colLast="0" w:name="_heading=h.qudme1wrkhe9" w:id="45"/>
      <w:bookmarkEnd w:id="45"/>
      <w:r w:rsidDel="00000000" w:rsidR="00000000" w:rsidRPr="00000000">
        <w:rPr>
          <w:rtl w:val="0"/>
        </w:rPr>
        <w:t xml:space="preserve">4.3.4 Modelo: red neuronal de grafos heterogénea</w:t>
      </w:r>
    </w:p>
    <w:p w:rsidR="00000000" w:rsidDel="00000000" w:rsidP="00000000" w:rsidRDefault="00000000" w:rsidRPr="00000000" w14:paraId="000001AD">
      <w:pPr>
        <w:ind w:left="0" w:firstLine="0"/>
        <w:rPr/>
      </w:pPr>
      <w:r w:rsidDel="00000000" w:rsidR="00000000" w:rsidRPr="00000000">
        <w:rPr>
          <w:rtl w:val="0"/>
        </w:rPr>
        <w:t xml:space="preserve">El grafo construido para cada día se procesa mediante una red neuronal de grafos heterogénea de la familia basada en atención, concretamente HGT (Heterogeneous Graph Transformer) o HeteroGAT. Como se justificó en el apartado 4.2.3, la elección final entre ambas se reserva como ajuste empírico, dado que ambas son adecuadas y comparten el principio de atención específica por tipo de nodo y arista.</w:t>
      </w:r>
    </w:p>
    <w:p w:rsidR="00000000" w:rsidDel="00000000" w:rsidP="00000000" w:rsidRDefault="00000000" w:rsidRPr="00000000" w14:paraId="000001AE">
      <w:pPr>
        <w:ind w:left="0" w:firstLine="0"/>
        <w:rPr/>
      </w:pPr>
      <w:r w:rsidDel="00000000" w:rsidR="00000000" w:rsidRPr="00000000">
        <w:rPr>
          <w:rtl w:val="0"/>
        </w:rPr>
        <w:t xml:space="preserve">El procesamiento sigue el esquema habitual de las redes de grafos. En primer lugar, una capa de proyección inicial transforma las características de cada tipo de nodo, que tienen dimensionalidades y naturalezas distintas, a un espacio de representación común. A continuación se aplican varias capas de paso de mensajes (message passing): en cada capa, cada nodo recibe información de sus vecinos a través de las aristas que lo conectan, pondera esa información mediante el mecanismo de atención, que aprende a asignar más peso a las relaciones más relevantes, y actualiza su propia representación combinando lo que tenía con lo que ha recibido. Tras varias capas, la representación de cada nodo incorpora no solo sus características propias sino también la información de su entorno relacional, incluyendo, en el caso del nodo mercado, la información geopolítica que le ha llegado a través de los países.</w:t>
      </w:r>
    </w:p>
    <w:p w:rsidR="00000000" w:rsidDel="00000000" w:rsidP="00000000" w:rsidRDefault="00000000" w:rsidRPr="00000000" w14:paraId="000001AF">
      <w:pPr>
        <w:ind w:left="0" w:firstLine="0"/>
        <w:rPr/>
      </w:pPr>
      <w:r w:rsidDel="00000000" w:rsidR="00000000" w:rsidRPr="00000000">
        <w:rPr>
          <w:rtl w:val="0"/>
        </w:rPr>
        <w:t xml:space="preserve">Los hiperparámetros que definen el tamaño del modelo no están cerrados y se ajustarán durante la experimentación, condicionados por el régimen de datos limitado descrito en el apartado 4.2.5. En concreto, se contempla una dimensión de representaciones vectoriales moderada, un número reducido de capas de paso de mensajes (previsiblemente dos o tres, suficiente para que la información se propague entre nodos no directamente conectados sin incurrir en sobre-suavizado), y un número de cabezas de atención a determinar. Sobre estas capas se aplicarán mecanismos de regularización (dropout y normalización) cuya intensidad se ajustará para contener e</w:t>
      </w:r>
      <w:sdt>
        <w:sdtPr>
          <w:id w:val="-941502865"/>
          <w:tag w:val="goog_rdk_7"/>
        </w:sdtPr>
        <w:sdtContent>
          <w:commentRangeStart w:id="6"/>
        </w:sdtContent>
      </w:sdt>
      <w:r w:rsidDel="00000000" w:rsidR="00000000" w:rsidRPr="00000000">
        <w:rPr>
          <w:rtl w:val="0"/>
        </w:rPr>
        <w:t xml:space="preserve">l sobreajuste.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B0">
      <w:pPr>
        <w:pStyle w:val="Heading3"/>
        <w:ind w:firstLine="709"/>
        <w:rPr/>
      </w:pPr>
      <w:bookmarkStart w:colFirst="0" w:colLast="0" w:name="_heading=h.6czfwir7mewp" w:id="46"/>
      <w:bookmarkEnd w:id="46"/>
      <w:r w:rsidDel="00000000" w:rsidR="00000000" w:rsidRPr="00000000">
        <w:rPr>
          <w:rtl w:val="0"/>
        </w:rPr>
        <w:t xml:space="preserve">4.3.5 Cabeza de predicción y definición del objetivo</w:t>
      </w:r>
    </w:p>
    <w:p w:rsidR="00000000" w:rsidDel="00000000" w:rsidP="00000000" w:rsidRDefault="00000000" w:rsidRPr="00000000" w14:paraId="000001B1">
      <w:pPr>
        <w:ind w:left="0" w:firstLine="0"/>
        <w:rPr/>
      </w:pPr>
      <w:r w:rsidDel="00000000" w:rsidR="00000000" w:rsidRPr="00000000">
        <w:rPr>
          <w:rtl w:val="0"/>
        </w:rPr>
        <w:t xml:space="preserve">Una vez procesado el grafo, se extrae la representación vectoriales final del nodo de tipo mercado, que condensa tanto el estado financiero del SP500 como el contexto geopolítico que ha absorbido durante el paso de mensajes. Esta representación vectoriales se pasa por una capa de clasificación que produce, mediante una función softmax, las probabilidades asignadas a cada una de las tres clases: bajada, neutralidad y subida. La predicción del modelo es la clase de mayor probabilidad.</w:t>
      </w:r>
    </w:p>
    <w:p w:rsidR="00000000" w:rsidDel="00000000" w:rsidP="00000000" w:rsidRDefault="00000000" w:rsidRPr="00000000" w14:paraId="000001B2">
      <w:pPr>
        <w:ind w:left="0" w:firstLine="0"/>
        <w:rPr/>
      </w:pPr>
      <w:r w:rsidDel="00000000" w:rsidR="00000000" w:rsidRPr="00000000">
        <w:rPr>
          <w:rtl w:val="0"/>
        </w:rPr>
        <w:t xml:space="preserve">La definición operativa de las tres clases requiere fijar un umbral que delimite qué se considera "neutralidad" frente a un movimiento significativo al alza o a la baja. Esta decisión no es trivial, ya que condiciona directamente el equilibrio entre clases: un umbral demasiado estrecho dejaría la clase neutra casi vacía, mientras que uno demasiado amplio la haría dominante y trivializaría la tarea. El umbral concreto se determinará a partir de la distribución histórica de los retornos diarios del SP500, contemplándose opciones como un umbral basado en una fracción de la desviación típica de los retornos o una división por terciles que garantice clases aproximadamente balanceadas.</w:t>
      </w:r>
    </w:p>
    <w:p w:rsidR="00000000" w:rsidDel="00000000" w:rsidP="00000000" w:rsidRDefault="00000000" w:rsidRPr="00000000" w14:paraId="000001B3">
      <w:pPr>
        <w:ind w:left="0" w:firstLine="0"/>
        <w:rPr/>
      </w:pPr>
      <w:r w:rsidDel="00000000" w:rsidR="00000000" w:rsidRPr="00000000">
        <w:rPr>
          <w:rtl w:val="0"/>
        </w:rPr>
        <w:t xml:space="preserve">Como función de pérdida se utilizará la entropía cruzada. En caso de que la definición final de las clases resulte en un desbalance apreciable, se contempla ponderar la pérdida de forma inversamente proporcional a la frecuencia de cada clase, para evitar que el modelo se limite a predecir sistemáticamente la clase mayoritaria.</w:t>
      </w:r>
    </w:p>
    <w:p w:rsidR="00000000" w:rsidDel="00000000" w:rsidP="00000000" w:rsidRDefault="00000000" w:rsidRPr="00000000" w14:paraId="000001B4">
      <w:pPr>
        <w:ind w:left="0" w:firstLine="0"/>
        <w:rPr/>
      </w:pPr>
      <w:r w:rsidDel="00000000" w:rsidR="00000000" w:rsidRPr="00000000">
        <w:rPr>
          <w:rtl w:val="0"/>
        </w:rPr>
        <w:t xml:space="preserve">Un aspecto crítico en la definición del objetivo es evitar la filtración de información del futuro. Dado que GDELT se actualiza de forma continua a lo largo del día, la construcción del grafo correspondiente a un día t debe limitarse a los eventos disponibles hasta el cierre del mercado de esa jornada; </w:t>
      </w:r>
      <w:sdt>
        <w:sdtPr>
          <w:id w:val="365469782"/>
          <w:tag w:val="goog_rdk_8"/>
        </w:sdtPr>
        <w:sdtContent>
          <w:commentRangeStart w:id="7"/>
        </w:sdtContent>
      </w:sdt>
      <w:r w:rsidDel="00000000" w:rsidR="00000000" w:rsidRPr="00000000">
        <w:rPr>
          <w:rtl w:val="0"/>
        </w:rPr>
        <w:t xml:space="preserve">los eventos posteriores al cierre se asignarían al día siguiente.</w:t>
      </w:r>
      <w:commentRangeEnd w:id="7"/>
      <w:r w:rsidDel="00000000" w:rsidR="00000000" w:rsidRPr="00000000">
        <w:commentReference w:id="7"/>
      </w:r>
      <w:r w:rsidDel="00000000" w:rsidR="00000000" w:rsidRPr="00000000">
        <w:rPr>
          <w:rtl w:val="0"/>
        </w:rPr>
        <w:t xml:space="preserve"> De este modo se garantiza que la predicción para la sesión t+1 se realiza únicamente con información que habría estado disponible en el momento real de la decisión. El procedimiento exacto de corte temporal se afinará durante la implementación.</w:t>
      </w:r>
    </w:p>
    <w:p w:rsidR="00000000" w:rsidDel="00000000" w:rsidP="00000000" w:rsidRDefault="00000000" w:rsidRPr="00000000" w14:paraId="000001B5">
      <w:pPr>
        <w:pStyle w:val="Heading3"/>
        <w:ind w:firstLine="709"/>
        <w:rPr/>
      </w:pPr>
      <w:bookmarkStart w:colFirst="0" w:colLast="0" w:name="_heading=h.ph15qla9yb5" w:id="47"/>
      <w:bookmarkEnd w:id="47"/>
      <w:r w:rsidDel="00000000" w:rsidR="00000000" w:rsidRPr="00000000">
        <w:rPr>
          <w:rtl w:val="0"/>
        </w:rPr>
        <w:t xml:space="preserve">4.3.6 Entrenamiento y evaluación</w:t>
      </w:r>
    </w:p>
    <w:p w:rsidR="00000000" w:rsidDel="00000000" w:rsidP="00000000" w:rsidRDefault="00000000" w:rsidRPr="00000000" w14:paraId="000001B6">
      <w:pPr>
        <w:ind w:left="0" w:firstLine="0"/>
        <w:rPr/>
      </w:pPr>
      <w:r w:rsidDel="00000000" w:rsidR="00000000" w:rsidRPr="00000000">
        <w:rPr>
          <w:rtl w:val="0"/>
        </w:rPr>
        <w:t xml:space="preserve">El entrenamiento y la evaluación del modelo deben respetar la naturaleza temporal del problema, lo que descarta los esquemas de validación cruzada estándar que mezclan aleatoriamente las muestras: en una serie temporal, entrenar con datos posteriores a los de prueba constituiría una forma de filtración de información. En su lugar se adoptará un esquema de validación temporal de tipo walk-forward, en el que el modelo se entrena sobre un periodo inicial y se evalúa sobre el periodo inmediatamente posterior, repitiendo el proceso desplazando progresivamente la ventana hacia adelante. El número concreto de particiones y la longitud de cada ventana se fijarán en función del periodo total de datos finalmente disponible.</w:t>
      </w:r>
    </w:p>
    <w:p w:rsidR="00000000" w:rsidDel="00000000" w:rsidP="00000000" w:rsidRDefault="00000000" w:rsidRPr="00000000" w14:paraId="000001B7">
      <w:pPr>
        <w:ind w:left="0" w:firstLine="0"/>
        <w:rPr/>
      </w:pPr>
      <w:r w:rsidDel="00000000" w:rsidR="00000000" w:rsidRPr="00000000">
        <w:rPr>
          <w:rtl w:val="0"/>
        </w:rPr>
        <w:t xml:space="preserve">Dado el régimen de datos limitado, la evaluación se repetirá con varias semillas aleatorias y se reportará no solo el valor medio de las métricas sino también su dispersión, ofreciendo así una imagen realista de la estabilidad del modelo y no únicamente de su mejor resultado puntual.</w:t>
      </w:r>
    </w:p>
    <w:p w:rsidR="00000000" w:rsidDel="00000000" w:rsidP="00000000" w:rsidRDefault="00000000" w:rsidRPr="00000000" w14:paraId="000001B8">
      <w:pPr>
        <w:ind w:left="0" w:firstLine="0"/>
        <w:rPr/>
      </w:pPr>
      <w:r w:rsidDel="00000000" w:rsidR="00000000" w:rsidRPr="00000000">
        <w:rPr>
          <w:rtl w:val="0"/>
        </w:rPr>
        <w:t xml:space="preserve">Como métricas de evaluación se emplearán las habituales en clasificación: la exactitud (accuracy), la puntuación F1 en su variante macro (especialmente relevante si las clases presentan desbalance, ya que pondera por igual las tres categorías) y la matriz de confusión, que permite analizar qué tipos de error comete el modelo. De forma complementaria, se contempla evaluar el modelo desde una perspectiva financiera mediante una estrategia de inversión simulada basada en sus predicciones, utilizando métricas como el ratio de Sharpe, lo que permitiría valorar no solo la corrección estadística de las predicciones sino su utilidad económica.</w:t>
      </w:r>
    </w:p>
    <w:p w:rsidR="00000000" w:rsidDel="00000000" w:rsidP="00000000" w:rsidRDefault="00000000" w:rsidRPr="00000000" w14:paraId="000001B9">
      <w:pPr>
        <w:ind w:left="0" w:firstLine="0"/>
        <w:rPr/>
      </w:pPr>
      <w:r w:rsidDel="00000000" w:rsidR="00000000" w:rsidRPr="00000000">
        <w:rPr>
          <w:rtl w:val="0"/>
        </w:rPr>
        <w:t xml:space="preserve">Finalmente, para poder afirmar que la arquitectura propuesta aporta valor, su rendimiento se comparará con un conjunto de modelos de referencia (baselines) de complejidad creciente. Entre ellos se contemplan un modelo trivial que predice siempre la clase mayoritaria, modelos clásicos de aprendizaje automático (como la regresión logística o XGBoost) aplicados sobre las características aplanadas, y modelos de series temporales como una LSTM alimentada únicamente con datos financieros. Resulta particularmente relevante un baseline que combine los datos financieros con una señal geopolítica agregada pero sin estructura de grafo, ya que es el que permite aislar la aportación específica de modelar la geopolítica como una red de relaciones frente a simplemente añadirla como una variable más. La comparación con este conjunto de referencias es la que permitirá determinar si la complejidad añadida del enfoque basado en grafos se traduce en una mejora real de la capacidad predictiva.</w:t>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pStyle w:val="Heading1"/>
        <w:numPr>
          <w:ilvl w:val="0"/>
          <w:numId w:val="7"/>
        </w:numPr>
        <w:ind w:left="360" w:hanging="360"/>
        <w:rPr>
          <w:smallCaps w:val="1"/>
          <w:color w:val="0098cd"/>
          <w:sz w:val="36"/>
          <w:szCs w:val="36"/>
        </w:rPr>
      </w:pPr>
      <w:bookmarkStart w:colFirst="0" w:colLast="0" w:name="_heading=h.ftvk3q5w04j" w:id="48"/>
      <w:bookmarkEnd w:id="48"/>
      <w:r w:rsidDel="00000000" w:rsidR="00000000" w:rsidRPr="00000000">
        <w:rPr>
          <w:smallCaps w:val="0"/>
          <w:rtl w:val="0"/>
        </w:rPr>
        <w:t xml:space="preserve">Descripción de los resultados</w:t>
      </w:r>
    </w:p>
    <w:p w:rsidR="00000000" w:rsidDel="00000000" w:rsidP="00000000" w:rsidRDefault="00000000" w:rsidRPr="00000000" w14:paraId="000001BC">
      <w:pPr>
        <w:ind w:left="0" w:firstLine="0"/>
        <w:rPr/>
      </w:pPr>
      <w:r w:rsidDel="00000000" w:rsidR="00000000" w:rsidRPr="00000000">
        <w:rPr>
          <w:rtl w:val="0"/>
        </w:rPr>
        <w:t xml:space="preserve">Estos resultados no son los finales y este punto y el siguiente no refleja lo que serán estas secciones en la entrega final, estamos en la fase de refinamiento final previa a la entrega final.</w:t>
      </w:r>
    </w:p>
    <w:p w:rsidR="00000000" w:rsidDel="00000000" w:rsidP="00000000" w:rsidRDefault="00000000" w:rsidRPr="00000000" w14:paraId="000001BD">
      <w:pPr>
        <w:ind w:left="0" w:firstLine="0"/>
        <w:rPr/>
      </w:pPr>
      <w:r w:rsidDel="00000000" w:rsidR="00000000" w:rsidRPr="00000000">
        <w:rPr>
          <w:rtl w:val="0"/>
        </w:rPr>
        <w:t xml:space="preserve">Actualmente, una de las métricas principales empleadas en la evaluación del modelo es la rentabilidad obtenida al aplicar sus señales de inversión sobre un periodo temporal determinado. Asimismo, se analiza la diferencia entre dicha rentabilidad y la obtenida mediante una estrategia pasiva de buy and hold, consistente en comprar el activo al inicio del periodo y mantener la posición hasta su finalización.</w:t>
      </w:r>
      <w:r w:rsidDel="00000000" w:rsidR="00000000" w:rsidRPr="00000000">
        <w:drawing>
          <wp:anchor allowOverlap="1" behindDoc="0" distB="114300" distT="114300" distL="114300" distR="114300" hidden="0" layoutInCell="1" locked="0" relativeHeight="0" simplePos="0">
            <wp:simplePos x="0" y="0"/>
            <wp:positionH relativeFrom="column">
              <wp:posOffset>389100</wp:posOffset>
            </wp:positionH>
            <wp:positionV relativeFrom="paragraph">
              <wp:posOffset>1495425</wp:posOffset>
            </wp:positionV>
            <wp:extent cx="4980623" cy="3729293"/>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980623" cy="3729293"/>
                    </a:xfrm>
                    <a:prstGeom prst="rect"/>
                    <a:ln/>
                  </pic:spPr>
                </pic:pic>
              </a:graphicData>
            </a:graphic>
          </wp:anchor>
        </w:drawing>
      </w:r>
    </w:p>
    <w:p w:rsidR="00000000" w:rsidDel="00000000" w:rsidP="00000000" w:rsidRDefault="00000000" w:rsidRPr="00000000" w14:paraId="000001BE">
      <w:pPr>
        <w:ind w:left="0" w:firstLine="0"/>
        <w:rPr/>
      </w:pPr>
      <w:r w:rsidDel="00000000" w:rsidR="00000000" w:rsidRPr="00000000">
        <w:rPr>
          <w:rtl w:val="0"/>
        </w:rPr>
        <w:t xml:space="preserve">El output de cualquier entrenamiento se ve reflejado en el archivo 01_entrenamiento_colab.ipynb.</w:t>
      </w:r>
    </w:p>
    <w:p w:rsidR="00000000" w:rsidDel="00000000" w:rsidP="00000000" w:rsidRDefault="00000000" w:rsidRPr="00000000" w14:paraId="000001BF">
      <w:pPr>
        <w:ind w:left="0" w:firstLine="0"/>
        <w:rPr/>
      </w:pPr>
      <w:r w:rsidDel="00000000" w:rsidR="00000000" w:rsidRPr="00000000">
        <w:rPr>
          <w:rtl w:val="0"/>
        </w:rPr>
        <w:t xml:space="preserve">Media de métricas por subgrupo de entrenamiento del modelo actual:</w:t>
      </w:r>
    </w:p>
    <w:sdt>
      <w:sdtPr>
        <w:lock w:val="contentLocked"/>
        <w:id w:val="755552951"/>
        <w:tag w:val="goog_rdk_9"/>
      </w:sdtPr>
      <w:sdtContent>
        <w:tbl>
          <w:tblPr>
            <w:tblStyle w:val="Table4"/>
            <w:tblW w:w="1114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05"/>
            <w:gridCol w:w="1185"/>
            <w:gridCol w:w="960"/>
            <w:gridCol w:w="1245"/>
            <w:gridCol w:w="1155"/>
            <w:gridCol w:w="1260"/>
            <w:gridCol w:w="1215"/>
            <w:gridCol w:w="1500"/>
            <w:tblGridChange w:id="0">
              <w:tblGrid>
                <w:gridCol w:w="1320"/>
                <w:gridCol w:w="1305"/>
                <w:gridCol w:w="1185"/>
                <w:gridCol w:w="960"/>
                <w:gridCol w:w="1245"/>
                <w:gridCol w:w="1155"/>
                <w:gridCol w:w="1260"/>
                <w:gridCol w:w="121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Años entrenados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 por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Rent. estrategia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Rent. buy &amp;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Modelo vs buy &amp;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Sharpe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Max drawdown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&gt;5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0.5242 ± 0.1150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0.2613 ± 0.0373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i w:val="1"/>
                    <w:iCs w:val="1"/>
                    <w:sz w:val="22"/>
                    <w:szCs w:val="22"/>
                    <w:rtl w:val="0"/>
                  </w:rPr>
                  <w:t xml:space="preserve">Baja: </w:t>
                </w:r>
                <w:r w:rsidDel="00000000" w:rsidR="00000000" w:rsidRPr="00000000">
                  <w:rPr>
                    <w:sz w:val="22"/>
                    <w:szCs w:val="22"/>
                    <w:rtl w:val="0"/>
                  </w:rPr>
                  <w:t xml:space="preserve">0.043 · </w:t>
                </w:r>
                <w:r w:rsidDel="00000000" w:rsidR="00000000" w:rsidRPr="00000000">
                  <w:rPr>
                    <w:i w:val="1"/>
                    <w:iCs w:val="1"/>
                    <w:sz w:val="22"/>
                    <w:szCs w:val="22"/>
                    <w:rtl w:val="0"/>
                  </w:rPr>
                  <w:t xml:space="preserve">Neutro:</w:t>
                </w:r>
                <w:r w:rsidDel="00000000" w:rsidR="00000000" w:rsidRPr="00000000">
                  <w:rPr>
                    <w:sz w:val="22"/>
                    <w:szCs w:val="22"/>
                    <w:rtl w:val="0"/>
                  </w:rPr>
                  <w:t xml:space="preserve"> 0.611 · </w:t>
                </w:r>
                <w:r w:rsidDel="00000000" w:rsidR="00000000" w:rsidRPr="00000000">
                  <w:rPr>
                    <w:i w:val="1"/>
                    <w:iCs w:val="1"/>
                    <w:sz w:val="22"/>
                    <w:szCs w:val="22"/>
                    <w:rtl w:val="0"/>
                  </w:rPr>
                  <w:t xml:space="preserve">Sube:</w:t>
                </w:r>
                <w:r w:rsidDel="00000000" w:rsidR="00000000" w:rsidRPr="00000000">
                  <w:rPr>
                    <w:sz w:val="22"/>
                    <w:szCs w:val="22"/>
                    <w:rtl w:val="0"/>
                  </w:rPr>
                  <w:t xml:space="preserve"> 0.130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+6.09% ± 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+10.43% ± 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ab/>
                  <w:t xml:space="preserve">-4.34 pp ± 8.10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ab/>
                  <w:t xml:space="preserve">0.5188 ± 0.7325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-5.36% ± 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&lt;5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0.4729 ± 0.1434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0.2625 ± 0.0601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i w:val="1"/>
                    <w:iCs w:val="1"/>
                    <w:sz w:val="22"/>
                    <w:szCs w:val="22"/>
                    <w:rtl w:val="0"/>
                  </w:rPr>
                  <w:t xml:space="preserve">Baja</w:t>
                </w:r>
                <w:r w:rsidDel="00000000" w:rsidR="00000000" w:rsidRPr="00000000">
                  <w:rPr>
                    <w:sz w:val="22"/>
                    <w:szCs w:val="22"/>
                    <w:rtl w:val="0"/>
                  </w:rPr>
                  <w:t xml:space="preserve">: 0,012,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i w:val="1"/>
                    <w:iCs w:val="1"/>
                    <w:sz w:val="22"/>
                    <w:szCs w:val="22"/>
                    <w:rtl w:val="0"/>
                  </w:rPr>
                  <w:t xml:space="preserve">Neutro</w:t>
                </w:r>
                <w:r w:rsidDel="00000000" w:rsidR="00000000" w:rsidRPr="00000000">
                  <w:rPr>
                    <w:sz w:val="22"/>
                    <w:szCs w:val="22"/>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0.58,</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i w:val="1"/>
                    <w:iCs w:val="1"/>
                    <w:sz w:val="22"/>
                    <w:szCs w:val="22"/>
                    <w:rtl w:val="0"/>
                  </w:rPr>
                  <w:t xml:space="preserve">Sube</w:t>
                </w:r>
                <w:r w:rsidDel="00000000" w:rsidR="00000000" w:rsidRPr="00000000">
                  <w:rPr>
                    <w:sz w:val="22"/>
                    <w:szCs w:val="22"/>
                    <w:rtl w:val="0"/>
                  </w:rPr>
                  <w:t xml:space="preserve">: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jc w:val="center"/>
                  <w:rPr>
                    <w:sz w:val="22"/>
                    <w:szCs w:val="22"/>
                  </w:rPr>
                </w:pPr>
                <w:r w:rsidDel="00000000" w:rsidR="00000000" w:rsidRPr="00000000">
                  <w:rPr>
                    <w:sz w:val="22"/>
                    <w:szCs w:val="22"/>
                    <w:rtl w:val="0"/>
                  </w:rPr>
                  <w:t xml:space="preserve">+15.21% ± 19.81%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0.2625 ± 0.0601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40" w:lineRule="auto"/>
                  <w:jc w:val="center"/>
                  <w:rPr>
                    <w:sz w:val="22"/>
                    <w:szCs w:val="22"/>
                  </w:rPr>
                </w:pPr>
                <w:r w:rsidDel="00000000" w:rsidR="00000000" w:rsidRPr="00000000">
                  <w:rPr>
                    <w:sz w:val="22"/>
                    <w:szCs w:val="22"/>
                    <w:rtl w:val="0"/>
                  </w:rPr>
                  <w:t xml:space="preserve">-8.38pp ± 17.03pp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0.59 ± 0.65</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-12.62% ± 11.32%</w:t>
                </w:r>
              </w:p>
            </w:tc>
          </w:tr>
        </w:tbl>
      </w:sdtContent>
    </w:sdt>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t xml:space="preserve">Una mayor rentabilidad no implica necesariamente un mejor modelo, ya que en un mercado con una tendencia históricamente alcista como el S&amp;P 500 una estrategia buy and hold puede obtener mejores resultados, aunque asumiendo una exposición al riesgo considerablemente mayor. Por este motivo, un modelo más conservador como el propuesto no tiene como objetivo principal maximizar la rentabilidad absoluta, sino obtener un equilibrio más adecuado entre rentabilidad y riesgo.</w:t>
      </w:r>
    </w:p>
    <w:p w:rsidR="00000000" w:rsidDel="00000000" w:rsidP="00000000" w:rsidRDefault="00000000" w:rsidRPr="00000000" w14:paraId="000001E0">
      <w:pPr>
        <w:ind w:left="0" w:firstLine="0"/>
        <w:rPr/>
      </w:pPr>
      <w:r w:rsidDel="00000000" w:rsidR="00000000" w:rsidRPr="00000000">
        <w:rPr>
          <w:rtl w:val="0"/>
        </w:rPr>
        <w:t xml:space="preserve">Esta es también la razón por la que el modelo tiende a adoptar posiciones neutrales en situaciones de incertidumbre, mientras que aumenta su exposición cuando identifica señales con un alto nivel de confianza. El objetivo es capturar la influencia de eventos geopolíticos sobre el comportamiento del S&amp;P 500, incorporando información que puede no estar reflejada en modelos basados exclusivamente en indicadores económicos tradicionales.</w:t>
      </w:r>
    </w:p>
    <w:p w:rsidR="00000000" w:rsidDel="00000000" w:rsidP="00000000" w:rsidRDefault="00000000" w:rsidRPr="00000000" w14:paraId="000001E1">
      <w:pPr>
        <w:ind w:left="0" w:firstLine="0"/>
        <w:rPr/>
      </w:pPr>
      <w:r w:rsidDel="00000000" w:rsidR="00000000" w:rsidRPr="00000000">
        <w:rPr>
          <w:rtl w:val="0"/>
        </w:rPr>
        <w:t xml:space="preserve">Tenemos muchas discusiones y bastante que decir en tema de datos y resultados, pero en fase de experimentación buscamos primero maximizar la mejora del modelo y luego, una vez pulido, hablar profundamente del tema y exponerlo en estos apartados.</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pStyle w:val="Heading1"/>
        <w:numPr>
          <w:ilvl w:val="0"/>
          <w:numId w:val="7"/>
        </w:numPr>
        <w:ind w:left="360" w:hanging="360"/>
        <w:rPr>
          <w:smallCaps w:val="1"/>
          <w:color w:val="0098cd"/>
          <w:sz w:val="36"/>
          <w:szCs w:val="36"/>
        </w:rPr>
      </w:pPr>
      <w:bookmarkStart w:colFirst="0" w:colLast="0" w:name="_heading=h.lj9ov2m8kn9u" w:id="49"/>
      <w:bookmarkEnd w:id="49"/>
      <w:r w:rsidDel="00000000" w:rsidR="00000000" w:rsidRPr="00000000">
        <w:rPr>
          <w:smallCaps w:val="0"/>
          <w:rtl w:val="0"/>
        </w:rPr>
        <w:t xml:space="preserve">Discusión</w:t>
      </w: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t xml:space="preserve">Al dedicar todo el tiempo de esta entrega a construir, testear e iterar la construcción del proyecto, hay varias decisiones que todavía estamos analizando y que a día de hoy en esta entrega difieren del texto original planteado anteriormente pero al no estar seguros todavía no hemos cambiado. </w:t>
      </w:r>
    </w:p>
    <w:p w:rsidR="00000000" w:rsidDel="00000000" w:rsidP="00000000" w:rsidRDefault="00000000" w:rsidRPr="00000000" w14:paraId="000001E6">
      <w:pPr>
        <w:ind w:left="0" w:firstLine="0"/>
        <w:rPr/>
      </w:pPr>
      <w:r w:rsidDel="00000000" w:rsidR="00000000" w:rsidRPr="00000000">
        <w:rPr>
          <w:rtl w:val="0"/>
        </w:rPr>
        <w:t xml:space="preserve">La idea para esta última entrega es comentar dudas con el tutor y terminar la experimentación para dar resultados finales y escribir correctamente resultados, discusión y conclusiones, además de reescribir las partes donde la arquitectura ha cambiado.</w:t>
      </w:r>
    </w:p>
    <w:p w:rsidR="00000000" w:rsidDel="00000000" w:rsidP="00000000" w:rsidRDefault="00000000" w:rsidRPr="00000000" w14:paraId="000001E7">
      <w:pPr>
        <w:numPr>
          <w:ilvl w:val="0"/>
          <w:numId w:val="1"/>
        </w:numPr>
        <w:spacing w:after="0" w:afterAutospacing="0"/>
        <w:ind w:left="720" w:hanging="360"/>
        <w:rPr>
          <w:u w:val="none"/>
        </w:rPr>
      </w:pPr>
      <w:r w:rsidDel="00000000" w:rsidR="00000000" w:rsidRPr="00000000">
        <w:rPr>
          <w:rtl w:val="0"/>
        </w:rPr>
        <w:t xml:space="preserve">El texto presenta tipos de aristas país-país tipadas "según naturaleza del evento" como si fueran tipos de relación. En el código hay un solo tipo de relación con QuadClass como one-hot.</w:t>
      </w:r>
    </w:p>
    <w:p w:rsidR="00000000" w:rsidDel="00000000" w:rsidP="00000000" w:rsidRDefault="00000000" w:rsidRPr="00000000" w14:paraId="000001E8">
      <w:pPr>
        <w:numPr>
          <w:ilvl w:val="0"/>
          <w:numId w:val="1"/>
        </w:numPr>
        <w:spacing w:after="0" w:afterAutospacing="0" w:before="0" w:beforeAutospacing="0"/>
        <w:ind w:left="720" w:hanging="360"/>
        <w:rPr>
          <w:u w:val="none"/>
        </w:rPr>
      </w:pPr>
      <w:r w:rsidDel="00000000" w:rsidR="00000000" w:rsidRPr="00000000">
        <w:rPr>
          <w:rtl w:val="0"/>
        </w:rPr>
        <w:t xml:space="preserve">El texto dice que a USA se le enriquece con macro (Fed, treasuries, inflación)mientras que en el código la macro va al nodo mercado, no al nodo país USA; todos los países comparten las mismas 11 features. </w:t>
      </w:r>
    </w:p>
    <w:p w:rsidR="00000000" w:rsidDel="00000000" w:rsidP="00000000" w:rsidRDefault="00000000" w:rsidRPr="00000000" w14:paraId="000001E9">
      <w:pPr>
        <w:numPr>
          <w:ilvl w:val="0"/>
          <w:numId w:val="1"/>
        </w:numPr>
        <w:spacing w:after="0" w:afterAutospacing="0" w:before="0" w:beforeAutospacing="0"/>
        <w:ind w:left="720" w:hanging="360"/>
        <w:rPr>
          <w:u w:val="none"/>
        </w:rPr>
      </w:pPr>
      <w:r w:rsidDel="00000000" w:rsidR="00000000" w:rsidRPr="00000000">
        <w:rPr>
          <w:rtl w:val="0"/>
        </w:rPr>
        <w:t xml:space="preserve">El vector de features real actual es: país = 11 dims (tono, goldstein, n_eventos, menciones, peso comercio, grado entrada/salida, 4 fracciones QuadClass); mercado = 9 dims (retornos 1/5/21d, volatilidad, volumen, VIX, DXY, fed_funds, treasury_10y)</w:t>
      </w:r>
    </w:p>
    <w:p w:rsidR="00000000" w:rsidDel="00000000" w:rsidP="00000000" w:rsidRDefault="00000000" w:rsidRPr="00000000" w14:paraId="000001EA">
      <w:pPr>
        <w:numPr>
          <w:ilvl w:val="0"/>
          <w:numId w:val="1"/>
        </w:numPr>
        <w:spacing w:after="0" w:afterAutospacing="0" w:before="0" w:beforeAutospacing="0"/>
        <w:ind w:left="720" w:hanging="360"/>
        <w:rPr>
          <w:u w:val="none"/>
        </w:rPr>
      </w:pPr>
      <w:r w:rsidDel="00000000" w:rsidR="00000000" w:rsidRPr="00000000">
        <w:rPr>
          <w:rtl w:val="0"/>
        </w:rPr>
        <w:t xml:space="preserve">Fórmula de intensidad usada actualmente α = |Goldstein|·log(1+NumMentions) </w:t>
      </w:r>
    </w:p>
    <w:p w:rsidR="00000000" w:rsidDel="00000000" w:rsidP="00000000" w:rsidRDefault="00000000" w:rsidRPr="00000000" w14:paraId="000001EB">
      <w:pPr>
        <w:numPr>
          <w:ilvl w:val="0"/>
          <w:numId w:val="1"/>
        </w:numPr>
        <w:spacing w:after="0" w:afterAutospacing="0" w:before="0" w:beforeAutospacing="0"/>
        <w:ind w:left="720" w:hanging="360"/>
        <w:rPr>
          <w:u w:val="none"/>
        </w:rPr>
      </w:pPr>
      <w:r w:rsidDel="00000000" w:rsidR="00000000" w:rsidRPr="00000000">
        <w:rPr>
          <w:rtl w:val="0"/>
        </w:rPr>
        <w:t xml:space="preserve">En el texto hablamos de HGT vs HeteroGAT, a día de hoy estamos usando HeteroGAT.</w:t>
      </w:r>
    </w:p>
    <w:p w:rsidR="00000000" w:rsidDel="00000000" w:rsidP="00000000" w:rsidRDefault="00000000" w:rsidRPr="00000000" w14:paraId="000001EC">
      <w:pPr>
        <w:numPr>
          <w:ilvl w:val="0"/>
          <w:numId w:val="1"/>
        </w:numPr>
        <w:spacing w:after="0" w:afterAutospacing="0" w:before="0" w:beforeAutospacing="0"/>
        <w:ind w:left="720" w:hanging="360"/>
        <w:rPr>
          <w:u w:val="none"/>
        </w:rPr>
      </w:pPr>
      <w:r w:rsidDel="00000000" w:rsidR="00000000" w:rsidRPr="00000000">
        <w:rPr>
          <w:rtl w:val="0"/>
        </w:rPr>
        <w:t xml:space="preserve">Mejora de la simulación financiera: estrategia long/cash/short, en casos de mucha confianza +0.70 (ahora mismo) en que baje en lugar de vender va en corto.</w:t>
      </w:r>
    </w:p>
    <w:p w:rsidR="00000000" w:rsidDel="00000000" w:rsidP="00000000" w:rsidRDefault="00000000" w:rsidRPr="00000000" w14:paraId="000001ED">
      <w:pPr>
        <w:numPr>
          <w:ilvl w:val="0"/>
          <w:numId w:val="1"/>
        </w:numPr>
        <w:spacing w:before="0" w:beforeAutospacing="0"/>
        <w:ind w:left="720" w:hanging="360"/>
        <w:rPr>
          <w:u w:val="none"/>
        </w:rPr>
      </w:pPr>
      <w:r w:rsidDel="00000000" w:rsidR="00000000" w:rsidRPr="00000000">
        <w:rPr>
          <w:rtl w:val="0"/>
        </w:rPr>
        <w:t xml:space="preserve">Ahora mismo las aristas no son bidireccionales, pero estamos testeando que lo sean para la entrega final.</w:t>
      </w:r>
      <w:r w:rsidDel="00000000" w:rsidR="00000000" w:rsidRPr="00000000">
        <w:rPr>
          <w:rtl w:val="0"/>
        </w:rPr>
      </w:r>
    </w:p>
    <w:p w:rsidR="00000000" w:rsidDel="00000000" w:rsidP="00000000" w:rsidRDefault="00000000" w:rsidRPr="00000000" w14:paraId="000001EE">
      <w:pPr>
        <w:pStyle w:val="Heading1"/>
        <w:numPr>
          <w:ilvl w:val="0"/>
          <w:numId w:val="7"/>
        </w:numPr>
        <w:ind w:left="360" w:hanging="360"/>
        <w:rPr/>
      </w:pPr>
      <w:bookmarkStart w:colFirst="0" w:colLast="0" w:name="_heading=h.d136cxtc3bnc" w:id="50"/>
      <w:bookmarkEnd w:id="50"/>
      <w:r w:rsidDel="00000000" w:rsidR="00000000" w:rsidRPr="00000000">
        <w:rPr>
          <w:smallCaps w:val="0"/>
          <w:rtl w:val="0"/>
        </w:rPr>
        <w:t xml:space="preserve">Conclusiones y trabajo futuro</w:t>
      </w:r>
      <w:r w:rsidDel="00000000" w:rsidR="00000000" w:rsidRPr="00000000">
        <w:rPr>
          <w:rtl w:val="0"/>
        </w:rPr>
      </w:r>
    </w:p>
    <w:p w:rsidR="00000000" w:rsidDel="00000000" w:rsidP="00000000" w:rsidRDefault="00000000" w:rsidRPr="00000000" w14:paraId="000001EF">
      <w:pPr>
        <w:pStyle w:val="Heading2"/>
        <w:numPr>
          <w:ilvl w:val="1"/>
          <w:numId w:val="7"/>
        </w:numPr>
        <w:ind w:left="1000" w:hanging="432"/>
        <w:rPr/>
      </w:pPr>
      <w:bookmarkStart w:colFirst="0" w:colLast="0" w:name="_heading=h.r409k1sgdqq0" w:id="51"/>
      <w:bookmarkEnd w:id="51"/>
      <w:r w:rsidDel="00000000" w:rsidR="00000000" w:rsidRPr="00000000">
        <w:rPr>
          <w:smallCaps w:val="0"/>
          <w:rtl w:val="0"/>
        </w:rPr>
        <w:t xml:space="preserve"> Conclusiones</w:t>
      </w:r>
      <w:r w:rsidDel="00000000" w:rsidR="00000000" w:rsidRPr="00000000">
        <w:rPr>
          <w:rtl w:val="0"/>
        </w:rPr>
      </w:r>
    </w:p>
    <w:p w:rsidR="00000000" w:rsidDel="00000000" w:rsidP="00000000" w:rsidRDefault="00000000" w:rsidRPr="00000000" w14:paraId="000001F0">
      <w:pPr>
        <w:pStyle w:val="Heading2"/>
        <w:numPr>
          <w:ilvl w:val="1"/>
          <w:numId w:val="7"/>
        </w:numPr>
        <w:ind w:left="1000" w:hanging="432"/>
        <w:rPr/>
      </w:pPr>
      <w:bookmarkStart w:colFirst="0" w:colLast="0" w:name="_heading=h.suj6wps4ive7" w:id="52"/>
      <w:bookmarkEnd w:id="52"/>
      <w:r w:rsidDel="00000000" w:rsidR="00000000" w:rsidRPr="00000000">
        <w:rPr>
          <w:smallCaps w:val="0"/>
          <w:rtl w:val="0"/>
        </w:rPr>
        <w:t xml:space="preserve"> Líneas de trabajo futuro</w:t>
      </w:r>
      <w:r w:rsidDel="00000000" w:rsidR="00000000" w:rsidRPr="00000000">
        <w:rPr>
          <w:rtl w:val="0"/>
        </w:rPr>
      </w:r>
    </w:p>
    <w:p w:rsidR="00000000" w:rsidDel="00000000" w:rsidP="00000000" w:rsidRDefault="00000000" w:rsidRPr="00000000" w14:paraId="000001F1">
      <w:pPr>
        <w:pStyle w:val="Heading4"/>
        <w:ind w:left="851" w:firstLine="0"/>
        <w:rPr/>
      </w:pPr>
      <w:r w:rsidDel="00000000" w:rsidR="00000000" w:rsidRPr="00000000">
        <w:rPr>
          <w:rtl w:val="0"/>
        </w:rPr>
      </w:r>
    </w:p>
    <w:p w:rsidR="00000000" w:rsidDel="00000000" w:rsidP="00000000" w:rsidRDefault="00000000" w:rsidRPr="00000000" w14:paraId="000001F2">
      <w:pPr>
        <w:pStyle w:val="Heading1"/>
        <w:numPr>
          <w:ilvl w:val="0"/>
          <w:numId w:val="7"/>
        </w:numPr>
        <w:ind w:left="360" w:hanging="360"/>
        <w:rPr/>
      </w:pPr>
      <w:bookmarkStart w:colFirst="0" w:colLast="0" w:name="_heading=h.n0mwghrduozm" w:id="53"/>
      <w:bookmarkEnd w:id="53"/>
      <w:r w:rsidDel="00000000" w:rsidR="00000000" w:rsidRPr="00000000">
        <w:rPr>
          <w:smallCaps w:val="0"/>
          <w:rtl w:val="0"/>
        </w:rPr>
        <w:t xml:space="preserve">Referencias bibliográficas</w:t>
      </w:r>
      <w:r w:rsidDel="00000000" w:rsidR="00000000" w:rsidRPr="00000000">
        <w:rPr>
          <w:rtl w:val="0"/>
        </w:rPr>
      </w:r>
    </w:p>
    <w:p w:rsidR="00000000" w:rsidDel="00000000" w:rsidP="00000000" w:rsidRDefault="00000000" w:rsidRPr="00000000" w14:paraId="000001F3">
      <w:pPr>
        <w:numPr>
          <w:ilvl w:val="0"/>
          <w:numId w:val="16"/>
        </w:numPr>
        <w:spacing w:after="200" w:before="240" w:lineRule="auto"/>
        <w:ind w:left="720" w:hanging="360"/>
        <w:rPr/>
      </w:pPr>
      <w:r w:rsidDel="00000000" w:rsidR="00000000" w:rsidRPr="00000000">
        <w:rPr>
          <w:rtl w:val="0"/>
        </w:rPr>
        <w:t xml:space="preserve">Caldara, D., &amp; Iacoviello, M. (2022). Measuring geopolitical risk. </w:t>
      </w:r>
      <w:r w:rsidDel="00000000" w:rsidR="00000000" w:rsidRPr="00000000">
        <w:rPr>
          <w:i w:val="1"/>
          <w:iCs w:val="1"/>
          <w:rtl w:val="0"/>
        </w:rPr>
        <w:t xml:space="preserve">American Economic Review</w:t>
      </w:r>
      <w:r w:rsidDel="00000000" w:rsidR="00000000" w:rsidRPr="00000000">
        <w:rPr>
          <w:rtl w:val="0"/>
        </w:rPr>
        <w:t xml:space="preserve">, </w:t>
      </w:r>
      <w:r w:rsidDel="00000000" w:rsidR="00000000" w:rsidRPr="00000000">
        <w:rPr>
          <w:i w:val="1"/>
          <w:iCs w:val="1"/>
          <w:rtl w:val="0"/>
        </w:rPr>
        <w:t xml:space="preserve">112</w:t>
      </w:r>
      <w:r w:rsidDel="00000000" w:rsidR="00000000" w:rsidRPr="00000000">
        <w:rPr>
          <w:rtl w:val="0"/>
        </w:rPr>
        <w:t xml:space="preserve">(4), 1194–1225.</w:t>
      </w:r>
      <w:hyperlink r:id="rId23">
        <w:r w:rsidDel="00000000" w:rsidR="00000000" w:rsidRPr="00000000">
          <w:rPr>
            <w:rtl w:val="0"/>
          </w:rPr>
          <w:t xml:space="preserve"> </w:t>
        </w:r>
      </w:hyperlink>
      <w:hyperlink r:id="rId24">
        <w:r w:rsidDel="00000000" w:rsidR="00000000" w:rsidRPr="00000000">
          <w:rPr>
            <w:u w:val="single"/>
            <w:rtl w:val="0"/>
          </w:rPr>
          <w:t xml:space="preserve">https://doi.org/10.1257/aer.20191823</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F4">
      <w:pPr>
        <w:numPr>
          <w:ilvl w:val="0"/>
          <w:numId w:val="16"/>
        </w:numPr>
        <w:spacing w:after="200" w:before="0" w:lineRule="auto"/>
        <w:ind w:left="720" w:hanging="360"/>
        <w:rPr/>
      </w:pPr>
      <w:r w:rsidDel="00000000" w:rsidR="00000000" w:rsidRPr="00000000">
        <w:rPr>
          <w:rtl w:val="0"/>
        </w:rPr>
        <w:t xml:space="preserve">Niu, Z., Wang, C., &amp; Zhang, H. (2023). Forecasting stock market volatility with various geopolitical risks categories: New evidence from machine learning models. </w:t>
      </w:r>
      <w:r w:rsidDel="00000000" w:rsidR="00000000" w:rsidRPr="00000000">
        <w:rPr>
          <w:i w:val="1"/>
          <w:iCs w:val="1"/>
          <w:rtl w:val="0"/>
        </w:rPr>
        <w:t xml:space="preserve">International Review of Financial Analysis</w:t>
      </w:r>
      <w:r w:rsidDel="00000000" w:rsidR="00000000" w:rsidRPr="00000000">
        <w:rPr>
          <w:rtl w:val="0"/>
        </w:rPr>
        <w:t xml:space="preserve">, </w:t>
      </w:r>
      <w:r w:rsidDel="00000000" w:rsidR="00000000" w:rsidRPr="00000000">
        <w:rPr>
          <w:i w:val="1"/>
          <w:iCs w:val="1"/>
          <w:rtl w:val="0"/>
        </w:rPr>
        <w:t xml:space="preserve">89</w:t>
      </w:r>
      <w:r w:rsidDel="00000000" w:rsidR="00000000" w:rsidRPr="00000000">
        <w:rPr>
          <w:rtl w:val="0"/>
        </w:rPr>
        <w:t xml:space="preserve">, 102545.</w:t>
      </w:r>
      <w:hyperlink r:id="rId25">
        <w:r w:rsidDel="00000000" w:rsidR="00000000" w:rsidRPr="00000000">
          <w:rPr>
            <w:rtl w:val="0"/>
          </w:rPr>
          <w:t xml:space="preserve"> </w:t>
        </w:r>
      </w:hyperlink>
      <w:hyperlink r:id="rId26">
        <w:r w:rsidDel="00000000" w:rsidR="00000000" w:rsidRPr="00000000">
          <w:rPr>
            <w:u w:val="single"/>
            <w:rtl w:val="0"/>
          </w:rPr>
          <w:t xml:space="preserve">https://doi.org/10.1016/j.irfa.2023.102545</w:t>
        </w:r>
      </w:hyperlink>
      <w:r w:rsidDel="00000000" w:rsidR="00000000" w:rsidRPr="00000000">
        <w:rPr>
          <w:rFonts w:ascii="Roboto" w:cs="Roboto" w:eastAsia="Roboto" w:hAnsi="Roboto"/>
          <w:color w:val="ffffff"/>
          <w:sz w:val="18"/>
          <w:szCs w:val="18"/>
          <w:u w:val="single"/>
          <w:rtl w:val="0"/>
        </w:rPr>
        <w:t xml:space="preserve">l</w:t>
      </w:r>
      <w:r w:rsidDel="00000000" w:rsidR="00000000" w:rsidRPr="00000000">
        <w:rPr>
          <w:rtl w:val="0"/>
        </w:rPr>
      </w:r>
    </w:p>
    <w:p w:rsidR="00000000" w:rsidDel="00000000" w:rsidP="00000000" w:rsidRDefault="00000000" w:rsidRPr="00000000" w14:paraId="000001F5">
      <w:pPr>
        <w:numPr>
          <w:ilvl w:val="0"/>
          <w:numId w:val="16"/>
        </w:numPr>
        <w:spacing w:after="200" w:before="0" w:lineRule="auto"/>
        <w:ind w:left="720" w:hanging="360"/>
        <w:rPr/>
      </w:pPr>
      <w:r w:rsidDel="00000000" w:rsidR="00000000" w:rsidRPr="00000000">
        <w:rPr>
          <w:rtl w:val="0"/>
        </w:rPr>
        <w:t xml:space="preserve">Plakandaras, V., Gupta, R., &amp; Wong, W. K. (2019). The effects of geopolitical uncertainty in forecasting financial markets: A machine learning approach. </w:t>
      </w:r>
      <w:r w:rsidDel="00000000" w:rsidR="00000000" w:rsidRPr="00000000">
        <w:rPr>
          <w:i w:val="1"/>
          <w:iCs w:val="1"/>
          <w:rtl w:val="0"/>
        </w:rPr>
        <w:t xml:space="preserve">Algorithms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1.</w:t>
      </w:r>
      <w:hyperlink r:id="rId27">
        <w:r w:rsidDel="00000000" w:rsidR="00000000" w:rsidRPr="00000000">
          <w:rPr>
            <w:rtl w:val="0"/>
          </w:rPr>
          <w:t xml:space="preserve"> </w:t>
        </w:r>
      </w:hyperlink>
      <w:hyperlink r:id="rId28">
        <w:r w:rsidDel="00000000" w:rsidR="00000000" w:rsidRPr="00000000">
          <w:rPr>
            <w:u w:val="single"/>
            <w:rtl w:val="0"/>
          </w:rPr>
          <w:t xml:space="preserve">https://doi.org/10.3390/a12010001</w:t>
        </w:r>
      </w:hyperlink>
      <w:r w:rsidDel="00000000" w:rsidR="00000000" w:rsidRPr="00000000">
        <w:rPr>
          <w:rtl w:val="0"/>
        </w:rPr>
      </w:r>
    </w:p>
    <w:p w:rsidR="00000000" w:rsidDel="00000000" w:rsidP="00000000" w:rsidRDefault="00000000" w:rsidRPr="00000000" w14:paraId="000001F6">
      <w:pPr>
        <w:numPr>
          <w:ilvl w:val="0"/>
          <w:numId w:val="11"/>
        </w:numPr>
        <w:spacing w:after="200" w:before="0" w:lineRule="auto"/>
        <w:ind w:left="720" w:hanging="360"/>
        <w:rPr/>
      </w:pPr>
      <w:r w:rsidDel="00000000" w:rsidR="00000000" w:rsidRPr="00000000">
        <w:rPr>
          <w:rtl w:val="0"/>
        </w:rPr>
        <w:t xml:space="preserve">Consoli, S., Barbaglia, L., &amp; Manzan, S. (2020). Using the GDELT dataset to analyse the Italian sovereign bond market. En </w:t>
      </w:r>
      <w:r w:rsidDel="00000000" w:rsidR="00000000" w:rsidRPr="00000000">
        <w:rPr>
          <w:i w:val="1"/>
          <w:iCs w:val="1"/>
          <w:rtl w:val="0"/>
        </w:rPr>
        <w:t xml:space="preserve">MIDAS 2020</w:t>
      </w:r>
      <w:r w:rsidDel="00000000" w:rsidR="00000000" w:rsidRPr="00000000">
        <w:rPr>
          <w:rtl w:val="0"/>
        </w:rPr>
        <w:t xml:space="preserve">, LNAI 12591 (pp. 55–67). Springer.</w:t>
      </w:r>
    </w:p>
    <w:p w:rsidR="00000000" w:rsidDel="00000000" w:rsidP="00000000" w:rsidRDefault="00000000" w:rsidRPr="00000000" w14:paraId="000001F7">
      <w:pPr>
        <w:numPr>
          <w:ilvl w:val="0"/>
          <w:numId w:val="11"/>
        </w:numPr>
        <w:spacing w:after="200" w:before="0" w:lineRule="auto"/>
        <w:ind w:left="720" w:hanging="360"/>
        <w:rPr/>
      </w:pPr>
      <w:r w:rsidDel="00000000" w:rsidR="00000000" w:rsidRPr="00000000">
        <w:rPr>
          <w:rtl w:val="0"/>
        </w:rPr>
        <w:t xml:space="preserve">Myers, A. et al. (2025). Talking to GDELT through knowledge graphs. </w:t>
      </w:r>
      <w:r w:rsidDel="00000000" w:rsidR="00000000" w:rsidRPr="00000000">
        <w:rPr>
          <w:i w:val="1"/>
          <w:iCs w:val="1"/>
          <w:rtl w:val="0"/>
        </w:rPr>
        <w:t xml:space="preserve">arXiv</w:t>
      </w:r>
      <w:r w:rsidDel="00000000" w:rsidR="00000000" w:rsidRPr="00000000">
        <w:rPr>
          <w:rtl w:val="0"/>
        </w:rPr>
        <w:t xml:space="preserve">:2503.07584.</w:t>
      </w:r>
    </w:p>
    <w:p w:rsidR="00000000" w:rsidDel="00000000" w:rsidP="00000000" w:rsidRDefault="00000000" w:rsidRPr="00000000" w14:paraId="000001F8">
      <w:pPr>
        <w:numPr>
          <w:ilvl w:val="0"/>
          <w:numId w:val="11"/>
        </w:numPr>
        <w:spacing w:after="200" w:before="0" w:lineRule="auto"/>
        <w:ind w:left="720" w:hanging="360"/>
        <w:rPr/>
      </w:pPr>
      <w:r w:rsidDel="00000000" w:rsidR="00000000" w:rsidRPr="00000000">
        <w:rPr>
          <w:rtl w:val="0"/>
        </w:rPr>
        <w:t xml:space="preserve">Fallahi, F. (2017). </w:t>
      </w:r>
      <w:r w:rsidDel="00000000" w:rsidR="00000000" w:rsidRPr="00000000">
        <w:rPr>
          <w:i w:val="1"/>
          <w:iCs w:val="1"/>
          <w:rtl w:val="0"/>
        </w:rPr>
        <w:t xml:space="preserve">Machine learning on big data for stock market prediction</w:t>
      </w:r>
      <w:r w:rsidDel="00000000" w:rsidR="00000000" w:rsidRPr="00000000">
        <w:rPr>
          <w:rtl w:val="0"/>
        </w:rPr>
        <w:t xml:space="preserve"> [Tesis de máster, Southern Illinois University Carbondale]. OpenSIUC.</w:t>
      </w:r>
      <w:hyperlink r:id="rId29">
        <w:r w:rsidDel="00000000" w:rsidR="00000000" w:rsidRPr="00000000">
          <w:rPr>
            <w:rtl w:val="0"/>
          </w:rPr>
          <w:t xml:space="preserve"> </w:t>
        </w:r>
      </w:hyperlink>
      <w:hyperlink r:id="rId30">
        <w:r w:rsidDel="00000000" w:rsidR="00000000" w:rsidRPr="00000000">
          <w:rPr>
            <w:u w:val="single"/>
            <w:rtl w:val="0"/>
          </w:rPr>
          <w:t xml:space="preserve">https://opensiuc.lib.siu.edu/theses/2178/</w:t>
        </w:r>
      </w:hyperlink>
      <w:r w:rsidDel="00000000" w:rsidR="00000000" w:rsidRPr="00000000">
        <w:rPr>
          <w:rtl w:val="0"/>
        </w:rPr>
      </w:r>
    </w:p>
    <w:p w:rsidR="00000000" w:rsidDel="00000000" w:rsidP="00000000" w:rsidRDefault="00000000" w:rsidRPr="00000000" w14:paraId="000001F9">
      <w:pPr>
        <w:numPr>
          <w:ilvl w:val="0"/>
          <w:numId w:val="11"/>
        </w:numPr>
        <w:spacing w:after="200" w:before="0" w:lineRule="auto"/>
        <w:ind w:left="720" w:hanging="360"/>
        <w:rPr/>
      </w:pPr>
      <w:r w:rsidDel="00000000" w:rsidR="00000000" w:rsidRPr="00000000">
        <w:rPr>
          <w:rtl w:val="0"/>
        </w:rPr>
        <w:t xml:space="preserve">Bao, W., Cao, Y., Yang, Y., Che, H., Huang, J., &amp; Wen, S. (2025). Data-driven stock forecasting models based on neural networks: A review. </w:t>
      </w:r>
      <w:r w:rsidDel="00000000" w:rsidR="00000000" w:rsidRPr="00000000">
        <w:rPr>
          <w:i w:val="1"/>
          <w:iCs w:val="1"/>
          <w:rtl w:val="0"/>
        </w:rPr>
        <w:t xml:space="preserve">Information Fusion</w:t>
      </w:r>
      <w:r w:rsidDel="00000000" w:rsidR="00000000" w:rsidRPr="00000000">
        <w:rPr>
          <w:rtl w:val="0"/>
        </w:rPr>
        <w:t xml:space="preserve">, </w:t>
      </w:r>
      <w:r w:rsidDel="00000000" w:rsidR="00000000" w:rsidRPr="00000000">
        <w:rPr>
          <w:i w:val="1"/>
          <w:iCs w:val="1"/>
          <w:rtl w:val="0"/>
        </w:rPr>
        <w:t xml:space="preserve">113</w:t>
      </w:r>
      <w:r w:rsidDel="00000000" w:rsidR="00000000" w:rsidRPr="00000000">
        <w:rPr>
          <w:rtl w:val="0"/>
        </w:rPr>
        <w:t xml:space="preserve">, 102616.</w:t>
      </w:r>
      <w:hyperlink r:id="rId31">
        <w:r w:rsidDel="00000000" w:rsidR="00000000" w:rsidRPr="00000000">
          <w:rPr>
            <w:rtl w:val="0"/>
          </w:rPr>
          <w:t xml:space="preserve"> </w:t>
        </w:r>
      </w:hyperlink>
      <w:hyperlink r:id="rId32">
        <w:r w:rsidDel="00000000" w:rsidR="00000000" w:rsidRPr="00000000">
          <w:rPr>
            <w:u w:val="single"/>
            <w:rtl w:val="0"/>
          </w:rPr>
          <w:t xml:space="preserve">https://doi.org/10.1016/j.inffus.2024.102616</w:t>
        </w:r>
      </w:hyperlink>
      <w:r w:rsidDel="00000000" w:rsidR="00000000" w:rsidRPr="00000000">
        <w:rPr>
          <w:rtl w:val="0"/>
        </w:rPr>
      </w:r>
    </w:p>
    <w:p w:rsidR="00000000" w:rsidDel="00000000" w:rsidP="00000000" w:rsidRDefault="00000000" w:rsidRPr="00000000" w14:paraId="000001FA">
      <w:pPr>
        <w:numPr>
          <w:ilvl w:val="0"/>
          <w:numId w:val="21"/>
        </w:numPr>
        <w:spacing w:after="200" w:before="0" w:lineRule="auto"/>
        <w:ind w:left="720" w:hanging="360"/>
        <w:rPr/>
      </w:pPr>
      <w:r w:rsidDel="00000000" w:rsidR="00000000" w:rsidRPr="00000000">
        <w:rPr>
          <w:rtl w:val="0"/>
        </w:rPr>
        <w:t xml:space="preserve">Gerner, D. J., Schrodt, P. A., Yilmaz, Ö., &amp; Abu-Jabr, R. (2002). </w:t>
      </w:r>
      <w:r w:rsidDel="00000000" w:rsidR="00000000" w:rsidRPr="00000000">
        <w:rPr>
          <w:i w:val="1"/>
          <w:iCs w:val="1"/>
          <w:rtl w:val="0"/>
        </w:rPr>
        <w:t xml:space="preserve">Conflict and Mediation Event Observations (CAMEO): A new event data framework for the analysis of foreign policy interactions</w:t>
      </w:r>
      <w:r w:rsidDel="00000000" w:rsidR="00000000" w:rsidRPr="00000000">
        <w:rPr>
          <w:rtl w:val="0"/>
        </w:rPr>
        <w:t xml:space="preserve">. Presentado en la Annual Meeting of the International Studies Association, New Orleans.</w:t>
      </w:r>
    </w:p>
    <w:p w:rsidR="00000000" w:rsidDel="00000000" w:rsidP="00000000" w:rsidRDefault="00000000" w:rsidRPr="00000000" w14:paraId="000001FB">
      <w:pPr>
        <w:numPr>
          <w:ilvl w:val="0"/>
          <w:numId w:val="21"/>
        </w:numPr>
        <w:spacing w:after="200" w:before="0" w:lineRule="auto"/>
        <w:ind w:left="720" w:hanging="360"/>
        <w:rPr/>
      </w:pPr>
      <w:r w:rsidDel="00000000" w:rsidR="00000000" w:rsidRPr="00000000">
        <w:rPr>
          <w:rtl w:val="0"/>
        </w:rPr>
        <w:t xml:space="preserve">Euler, L. (1736). Solutio problematis ad geometriam situs pertinentis. </w:t>
      </w:r>
      <w:r w:rsidDel="00000000" w:rsidR="00000000" w:rsidRPr="00000000">
        <w:rPr>
          <w:i w:val="1"/>
          <w:iCs w:val="1"/>
          <w:rtl w:val="0"/>
        </w:rPr>
        <w:t xml:space="preserve">Commentarii Academiae Scientiarum Petropolitanae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128–140.</w:t>
      </w:r>
    </w:p>
    <w:p w:rsidR="00000000" w:rsidDel="00000000" w:rsidP="00000000" w:rsidRDefault="00000000" w:rsidRPr="00000000" w14:paraId="000001FC">
      <w:pPr>
        <w:numPr>
          <w:ilvl w:val="0"/>
          <w:numId w:val="21"/>
        </w:numPr>
        <w:spacing w:after="200" w:before="0" w:lineRule="auto"/>
        <w:ind w:left="720" w:hanging="360"/>
        <w:rPr/>
      </w:pPr>
      <w:r w:rsidDel="00000000" w:rsidR="00000000" w:rsidRPr="00000000">
        <w:rPr>
          <w:rtl w:val="0"/>
        </w:rPr>
        <w:t xml:space="preserve">Fama, E. F. (1970). Efficient capital markets: A review of theory and empirical work. </w:t>
      </w:r>
      <w:r w:rsidDel="00000000" w:rsidR="00000000" w:rsidRPr="00000000">
        <w:rPr>
          <w:i w:val="1"/>
          <w:iCs w:val="1"/>
          <w:rtl w:val="0"/>
        </w:rPr>
        <w:t xml:space="preserve">The Journal of Finance</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(2), 383–417.</w:t>
      </w:r>
      <w:hyperlink r:id="rId33">
        <w:r w:rsidDel="00000000" w:rsidR="00000000" w:rsidRPr="00000000">
          <w:rPr>
            <w:rtl w:val="0"/>
          </w:rPr>
          <w:t xml:space="preserve"> </w:t>
        </w:r>
      </w:hyperlink>
      <w:hyperlink r:id="rId34">
        <w:r w:rsidDel="00000000" w:rsidR="00000000" w:rsidRPr="00000000">
          <w:rPr>
            <w:u w:val="single"/>
            <w:rtl w:val="0"/>
          </w:rPr>
          <w:t xml:space="preserve">https://doi.org/10.2307/2325486</w:t>
        </w:r>
      </w:hyperlink>
      <w:r w:rsidDel="00000000" w:rsidR="00000000" w:rsidRPr="00000000">
        <w:rPr>
          <w:rtl w:val="0"/>
        </w:rPr>
      </w:r>
    </w:p>
    <w:p w:rsidR="00000000" w:rsidDel="00000000" w:rsidP="00000000" w:rsidRDefault="00000000" w:rsidRPr="00000000" w14:paraId="000001FD">
      <w:pPr>
        <w:numPr>
          <w:ilvl w:val="0"/>
          <w:numId w:val="21"/>
        </w:numPr>
        <w:spacing w:after="200" w:before="0" w:lineRule="auto"/>
        <w:ind w:left="720" w:hanging="360"/>
        <w:rPr/>
      </w:pPr>
      <w:r w:rsidDel="00000000" w:rsidR="00000000" w:rsidRPr="00000000">
        <w:rPr>
          <w:rtl w:val="0"/>
        </w:rPr>
        <w:t xml:space="preserve">Knight, F. H. (1921). </w:t>
      </w:r>
      <w:r w:rsidDel="00000000" w:rsidR="00000000" w:rsidRPr="00000000">
        <w:rPr>
          <w:i w:val="1"/>
          <w:iCs w:val="1"/>
          <w:rtl w:val="0"/>
        </w:rPr>
        <w:t xml:space="preserve">Risk, uncertainty and profit</w:t>
      </w:r>
      <w:r w:rsidDel="00000000" w:rsidR="00000000" w:rsidRPr="00000000">
        <w:rPr>
          <w:rtl w:val="0"/>
        </w:rPr>
        <w:t xml:space="preserve">. Houghton Mifflin.</w:t>
      </w:r>
    </w:p>
    <w:p w:rsidR="00000000" w:rsidDel="00000000" w:rsidP="00000000" w:rsidRDefault="00000000" w:rsidRPr="00000000" w14:paraId="000001FE">
      <w:pPr>
        <w:numPr>
          <w:ilvl w:val="0"/>
          <w:numId w:val="21"/>
        </w:numPr>
        <w:spacing w:after="200" w:before="0" w:lineRule="auto"/>
        <w:ind w:left="720" w:hanging="360"/>
        <w:rPr/>
      </w:pPr>
      <w:r w:rsidDel="00000000" w:rsidR="00000000" w:rsidRPr="00000000">
        <w:rPr>
          <w:rtl w:val="0"/>
        </w:rPr>
        <w:t xml:space="preserve">Leetaru, K., &amp; Schrodt, P. A. (2013). GDELT: Global data on events, location, and tone, 1979–2012. Presentado en la </w:t>
      </w:r>
      <w:r w:rsidDel="00000000" w:rsidR="00000000" w:rsidRPr="00000000">
        <w:rPr>
          <w:i w:val="1"/>
          <w:iCs w:val="1"/>
          <w:rtl w:val="0"/>
        </w:rPr>
        <w:t xml:space="preserve">Annual Meeting of the International Studies Association</w:t>
      </w:r>
      <w:r w:rsidDel="00000000" w:rsidR="00000000" w:rsidRPr="00000000">
        <w:rPr>
          <w:rtl w:val="0"/>
        </w:rPr>
        <w:t xml:space="preserve">, San Francisco.</w:t>
      </w:r>
    </w:p>
    <w:p w:rsidR="00000000" w:rsidDel="00000000" w:rsidP="00000000" w:rsidRDefault="00000000" w:rsidRPr="00000000" w14:paraId="000001FF">
      <w:pPr>
        <w:numPr>
          <w:ilvl w:val="0"/>
          <w:numId w:val="21"/>
        </w:numPr>
        <w:spacing w:after="240" w:before="240" w:lineRule="auto"/>
        <w:ind w:left="720" w:hanging="360"/>
        <w:rPr/>
      </w:pPr>
      <w:r w:rsidDel="00000000" w:rsidR="00000000" w:rsidRPr="00000000">
        <w:rPr>
          <w:rtl w:val="0"/>
        </w:rPr>
        <w:t xml:space="preserve">Patel, M., Jariwala, K., &amp; Chattopadhyay, C. (2025). </w:t>
      </w:r>
      <w:r w:rsidDel="00000000" w:rsidR="00000000" w:rsidRPr="00000000">
        <w:rPr>
          <w:i w:val="1"/>
          <w:iCs w:val="1"/>
          <w:rtl w:val="0"/>
        </w:rPr>
        <w:t xml:space="preserve">A systematic review on graph neural network-based methods for stock market forecasting</w:t>
      </w:r>
      <w:r w:rsidDel="00000000" w:rsidR="00000000" w:rsidRPr="00000000">
        <w:rPr>
          <w:rtl w:val="0"/>
        </w:rPr>
        <w:t xml:space="preserve">. ACM Computing Surveys, 57(2), Article 34.</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https://doi.org/10.1145/3696411</w:t>
        </w:r>
      </w:hyperlink>
      <w:r w:rsidDel="00000000" w:rsidR="00000000" w:rsidRPr="00000000">
        <w:rPr>
          <w:rtl w:val="0"/>
        </w:rPr>
      </w:r>
    </w:p>
    <w:p w:rsidR="00000000" w:rsidDel="00000000" w:rsidP="00000000" w:rsidRDefault="00000000" w:rsidRPr="00000000" w14:paraId="00000200">
      <w:pPr>
        <w:numPr>
          <w:ilvl w:val="0"/>
          <w:numId w:val="21"/>
        </w:numPr>
        <w:spacing w:after="240" w:before="240" w:lineRule="auto"/>
        <w:ind w:left="720" w:hanging="360"/>
        <w:rPr/>
      </w:pPr>
      <w:r w:rsidDel="00000000" w:rsidR="00000000" w:rsidRPr="00000000">
        <w:rPr>
          <w:rtl w:val="0"/>
        </w:rPr>
        <w:t xml:space="preserve">Kim, R., So, C. H., Jeong, M., Lee, S., Kim, J., &amp; Kang, J. (2019). </w:t>
      </w:r>
      <w:r w:rsidDel="00000000" w:rsidR="00000000" w:rsidRPr="00000000">
        <w:rPr>
          <w:i w:val="1"/>
          <w:iCs w:val="1"/>
          <w:rtl w:val="0"/>
        </w:rPr>
        <w:t xml:space="preserve">HATS: A Hierarchical Graph Attention Network for Stock Movement Prediction</w:t>
      </w:r>
      <w:r w:rsidDel="00000000" w:rsidR="00000000" w:rsidRPr="00000000">
        <w:rPr>
          <w:rtl w:val="0"/>
        </w:rPr>
        <w:t xml:space="preserve">. arXiv:1908.07999.</w:t>
      </w:r>
    </w:p>
    <w:p w:rsidR="00000000" w:rsidDel="00000000" w:rsidP="00000000" w:rsidRDefault="00000000" w:rsidRPr="00000000" w14:paraId="00000201">
      <w:pPr>
        <w:numPr>
          <w:ilvl w:val="0"/>
          <w:numId w:val="21"/>
        </w:numPr>
        <w:spacing w:after="240" w:before="240" w:lineRule="auto"/>
        <w:ind w:left="720" w:hanging="360"/>
        <w:rPr/>
      </w:pPr>
      <w:r w:rsidDel="00000000" w:rsidR="00000000" w:rsidRPr="00000000">
        <w:rPr>
          <w:rtl w:val="0"/>
        </w:rPr>
        <w:t xml:space="preserve">Wei, Z.-L., An, H.-Y., Yao, Y., Su, W.-C., Li, G., Saifullah, &amp; Wang, M.-J.-S. (2025). </w:t>
      </w:r>
      <w:r w:rsidDel="00000000" w:rsidR="00000000" w:rsidRPr="00000000">
        <w:rPr>
          <w:i w:val="1"/>
          <w:iCs w:val="1"/>
          <w:rtl w:val="0"/>
        </w:rPr>
        <w:t xml:space="preserve">FSTGAT: Financial Spatio-Temporal Graph Attention Network for Non-Stationary Financial Systems and Its Application in Stock Price Prediction</w:t>
      </w:r>
      <w:r w:rsidDel="00000000" w:rsidR="00000000" w:rsidRPr="00000000">
        <w:rPr>
          <w:rtl w:val="0"/>
        </w:rPr>
        <w:t xml:space="preserve">. Symmetry, 17(8), 1344. </w:t>
      </w:r>
      <w:hyperlink r:id="rId37">
        <w:r w:rsidDel="00000000" w:rsidR="00000000" w:rsidRPr="00000000">
          <w:rPr>
            <w:color w:val="1155cc"/>
            <w:u w:val="single"/>
            <w:rtl w:val="0"/>
          </w:rPr>
          <w:t xml:space="preserve">https://doi.org/10.3390/sym17081344</w:t>
        </w:r>
      </w:hyperlink>
      <w:r w:rsidDel="00000000" w:rsidR="00000000" w:rsidRPr="00000000">
        <w:rPr>
          <w:rtl w:val="0"/>
        </w:rPr>
      </w:r>
    </w:p>
    <w:p w:rsidR="00000000" w:rsidDel="00000000" w:rsidP="00000000" w:rsidRDefault="00000000" w:rsidRPr="00000000" w14:paraId="00000202">
      <w:pPr>
        <w:numPr>
          <w:ilvl w:val="0"/>
          <w:numId w:val="21"/>
        </w:numPr>
        <w:spacing w:after="240" w:before="240" w:lineRule="auto"/>
        <w:ind w:left="720" w:hanging="360"/>
        <w:rPr/>
      </w:pPr>
      <w:r w:rsidDel="00000000" w:rsidR="00000000" w:rsidRPr="00000000">
        <w:rPr>
          <w:rtl w:val="0"/>
        </w:rPr>
        <w:t xml:space="preserve">Wilson, R. J. (1996). </w:t>
      </w:r>
      <w:r w:rsidDel="00000000" w:rsidR="00000000" w:rsidRPr="00000000">
        <w:rPr>
          <w:i w:val="1"/>
          <w:iCs w:val="1"/>
          <w:rtl w:val="0"/>
        </w:rPr>
        <w:t xml:space="preserve">Introduction to graph theory</w:t>
      </w:r>
      <w:r w:rsidDel="00000000" w:rsidR="00000000" w:rsidRPr="00000000">
        <w:rPr>
          <w:rtl w:val="0"/>
        </w:rPr>
        <w:t xml:space="preserve"> (4ª ed.). Longman.</w:t>
      </w:r>
    </w:p>
    <w:p w:rsidR="00000000" w:rsidDel="00000000" w:rsidP="00000000" w:rsidRDefault="00000000" w:rsidRPr="00000000" w14:paraId="00000203">
      <w:pPr>
        <w:numPr>
          <w:ilvl w:val="0"/>
          <w:numId w:val="21"/>
        </w:numPr>
        <w:spacing w:after="200" w:before="240" w:lineRule="auto"/>
        <w:ind w:left="720" w:hanging="360"/>
        <w:rPr/>
      </w:pPr>
      <w:r w:rsidDel="00000000" w:rsidR="00000000" w:rsidRPr="00000000">
        <w:rPr>
          <w:rtl w:val="0"/>
        </w:rPr>
        <w:t xml:space="preserve">Chen, Z., Zheng, L., Lu, C., Yuan, J., &amp; Zhu, D. (2023). ChatGPT informed graph neural network for stock movement prediction. </w:t>
      </w:r>
      <w:r w:rsidDel="00000000" w:rsidR="00000000" w:rsidRPr="00000000">
        <w:rPr>
          <w:i w:val="1"/>
          <w:iCs w:val="1"/>
          <w:rtl w:val="0"/>
        </w:rPr>
        <w:t xml:space="preserve">arXiv</w:t>
      </w:r>
      <w:r w:rsidDel="00000000" w:rsidR="00000000" w:rsidRPr="00000000">
        <w:rPr>
          <w:rtl w:val="0"/>
        </w:rPr>
        <w:t xml:space="preserve">:2306.03763.</w:t>
      </w:r>
    </w:p>
    <w:p w:rsidR="00000000" w:rsidDel="00000000" w:rsidP="00000000" w:rsidRDefault="00000000" w:rsidRPr="00000000" w14:paraId="00000204">
      <w:pPr>
        <w:numPr>
          <w:ilvl w:val="0"/>
          <w:numId w:val="21"/>
        </w:numPr>
        <w:spacing w:after="200" w:before="240" w:lineRule="auto"/>
        <w:ind w:left="720" w:hanging="360"/>
        <w:rPr/>
      </w:pPr>
      <w:r w:rsidDel="00000000" w:rsidR="00000000" w:rsidRPr="00000000">
        <w:rPr>
          <w:rtl w:val="0"/>
        </w:rPr>
        <w:t xml:space="preserve">Shiller, R. J. (2003). From efficient markets theory to behavioral finance. Journal of Economic Perspectives, 17(1), 83–104. </w:t>
      </w:r>
      <w:hyperlink r:id="rId38">
        <w:r w:rsidDel="00000000" w:rsidR="00000000" w:rsidRPr="00000000">
          <w:rPr>
            <w:color w:val="1155cc"/>
            <w:u w:val="single"/>
            <w:rtl w:val="0"/>
          </w:rPr>
          <w:t xml:space="preserve">https://doi.org/10.1257/089533003321164967</w:t>
        </w:r>
      </w:hyperlink>
      <w:r w:rsidDel="00000000" w:rsidR="00000000" w:rsidRPr="00000000">
        <w:rPr>
          <w:rtl w:val="0"/>
        </w:rPr>
        <w:t xml:space="preserve"> </w:t>
      </w:r>
    </w:p>
    <w:p w:rsidR="00000000" w:rsidDel="00000000" w:rsidP="00000000" w:rsidRDefault="00000000" w:rsidRPr="00000000" w14:paraId="00000205">
      <w:pPr>
        <w:numPr>
          <w:ilvl w:val="0"/>
          <w:numId w:val="21"/>
        </w:numPr>
        <w:spacing w:after="240" w:before="240" w:lineRule="auto"/>
        <w:ind w:left="720" w:hanging="360"/>
        <w:rPr/>
      </w:pPr>
      <w:r w:rsidDel="00000000" w:rsidR="00000000" w:rsidRPr="00000000">
        <w:rPr>
          <w:b w:val="1"/>
          <w:bCs w:val="1"/>
          <w:rtl w:val="0"/>
        </w:rPr>
        <w:t xml:space="preserve">SVM:</w:t>
      </w:r>
      <w:r w:rsidDel="00000000" w:rsidR="00000000" w:rsidRPr="00000000">
        <w:rPr>
          <w:rtl w:val="0"/>
        </w:rPr>
        <w:t xml:space="preserve"> Cortes, C., &amp; Vapnik, V. (1995). Support-vector networks.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(3), 273–297.</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https://doi.org/10.1007/BF00994018</w:t>
        </w:r>
      </w:hyperlink>
      <w:r w:rsidDel="00000000" w:rsidR="00000000" w:rsidRPr="00000000">
        <w:rPr>
          <w:rtl w:val="0"/>
        </w:rPr>
      </w:r>
    </w:p>
    <w:p w:rsidR="00000000" w:rsidDel="00000000" w:rsidP="00000000" w:rsidRDefault="00000000" w:rsidRPr="00000000" w14:paraId="00000206">
      <w:pPr>
        <w:numPr>
          <w:ilvl w:val="0"/>
          <w:numId w:val="21"/>
        </w:numPr>
        <w:spacing w:after="240" w:before="240" w:lineRule="auto"/>
        <w:ind w:left="720" w:hanging="360"/>
        <w:rPr/>
      </w:pPr>
      <w:r w:rsidDel="00000000" w:rsidR="00000000" w:rsidRPr="00000000">
        <w:rPr>
          <w:b w:val="1"/>
          <w:bCs w:val="1"/>
          <w:rtl w:val="0"/>
        </w:rPr>
        <w:t xml:space="preserve">Random Forest:</w:t>
      </w:r>
      <w:r w:rsidDel="00000000" w:rsidR="00000000" w:rsidRPr="00000000">
        <w:rPr>
          <w:rtl w:val="0"/>
        </w:rPr>
        <w:t xml:space="preserve"> Breiman, L. (2001). Random forests.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45</w:t>
      </w:r>
      <w:r w:rsidDel="00000000" w:rsidR="00000000" w:rsidRPr="00000000">
        <w:rPr>
          <w:rtl w:val="0"/>
        </w:rPr>
        <w:t xml:space="preserve">(1), 5–32.</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207">
      <w:pPr>
        <w:numPr>
          <w:ilvl w:val="0"/>
          <w:numId w:val="21"/>
        </w:numPr>
        <w:spacing w:after="240" w:before="240" w:lineRule="auto"/>
        <w:ind w:left="720" w:hanging="360"/>
        <w:rPr/>
      </w:pPr>
      <w:r w:rsidDel="00000000" w:rsidR="00000000" w:rsidRPr="00000000">
        <w:rPr>
          <w:b w:val="1"/>
          <w:bCs w:val="1"/>
          <w:rtl w:val="0"/>
        </w:rPr>
        <w:t xml:space="preserve">LSTM:</w:t>
      </w:r>
      <w:r w:rsidDel="00000000" w:rsidR="00000000" w:rsidRPr="00000000">
        <w:rPr>
          <w:rtl w:val="0"/>
        </w:rPr>
        <w:t xml:space="preserve"> Hochreiter, S., &amp; Schmidhuber, J. (1997). Long short-term memory. </w:t>
      </w:r>
      <w:r w:rsidDel="00000000" w:rsidR="00000000" w:rsidRPr="00000000">
        <w:rPr>
          <w:i w:val="1"/>
          <w:iCs w:val="1"/>
          <w:rtl w:val="0"/>
        </w:rPr>
        <w:t xml:space="preserve">Neural Computation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(8), 1735–1780.</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208">
      <w:pPr>
        <w:numPr>
          <w:ilvl w:val="0"/>
          <w:numId w:val="21"/>
        </w:numPr>
        <w:spacing w:after="240" w:before="240" w:lineRule="auto"/>
        <w:ind w:left="720" w:hanging="360"/>
        <w:rPr/>
      </w:pPr>
      <w:r w:rsidDel="00000000" w:rsidR="00000000" w:rsidRPr="00000000">
        <w:rPr>
          <w:b w:val="1"/>
          <w:bCs w:val="1"/>
          <w:rtl w:val="0"/>
        </w:rPr>
        <w:t xml:space="preserve">GRU:</w:t>
      </w:r>
      <w:r w:rsidDel="00000000" w:rsidR="00000000" w:rsidRPr="00000000">
        <w:rPr>
          <w:rtl w:val="0"/>
        </w:rPr>
        <w:t xml:space="preserve"> Cho, K., van Merrienboer, B., Gulcehre, C., Bahdanau, D., Bougares, F., Schwenk, H., &amp; Bengio, Y. (2014). Learning phrase representations using RNN encoder-decoder for statistical machine translation. </w:t>
      </w:r>
      <w:r w:rsidDel="00000000" w:rsidR="00000000" w:rsidRPr="00000000">
        <w:rPr>
          <w:i w:val="1"/>
          <w:iCs w:val="1"/>
          <w:rtl w:val="0"/>
        </w:rPr>
        <w:t xml:space="preserve">arXiv:1406.1078</w:t>
      </w:r>
      <w:r w:rsidDel="00000000" w:rsidR="00000000" w:rsidRPr="00000000">
        <w:rPr>
          <w:rtl w:val="0"/>
        </w:rPr>
        <w:t xml:space="preserve">.</w:t>
      </w:r>
    </w:p>
    <w:p w:rsidR="00000000" w:rsidDel="00000000" w:rsidP="00000000" w:rsidRDefault="00000000" w:rsidRPr="00000000" w14:paraId="00000209">
      <w:pPr>
        <w:numPr>
          <w:ilvl w:val="0"/>
          <w:numId w:val="21"/>
        </w:numPr>
        <w:spacing w:after="240" w:before="240" w:lineRule="auto"/>
        <w:ind w:left="720" w:hanging="360"/>
        <w:rPr/>
      </w:pPr>
      <w:r w:rsidDel="00000000" w:rsidR="00000000" w:rsidRPr="00000000">
        <w:rPr>
          <w:b w:val="1"/>
          <w:bCs w:val="1"/>
          <w:rtl w:val="0"/>
        </w:rPr>
        <w:t xml:space="preserve">Transformers:</w:t>
      </w:r>
      <w:r w:rsidDel="00000000" w:rsidR="00000000" w:rsidRPr="00000000">
        <w:rPr>
          <w:rtl w:val="0"/>
        </w:rPr>
        <w:t xml:space="preserve"> 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w:t>
      </w:r>
    </w:p>
    <w:p w:rsidR="00000000" w:rsidDel="00000000" w:rsidP="00000000" w:rsidRDefault="00000000" w:rsidRPr="00000000" w14:paraId="0000020A">
      <w:pPr>
        <w:numPr>
          <w:ilvl w:val="0"/>
          <w:numId w:val="21"/>
        </w:numPr>
        <w:spacing w:after="240" w:before="240" w:lineRule="auto"/>
        <w:ind w:left="720" w:hanging="360"/>
        <w:rPr/>
      </w:pPr>
      <w:r w:rsidDel="00000000" w:rsidR="00000000" w:rsidRPr="00000000">
        <w:rPr>
          <w:b w:val="1"/>
          <w:bCs w:val="1"/>
          <w:rtl w:val="0"/>
        </w:rPr>
        <w:t xml:space="preserve">TFT:</w:t>
      </w:r>
      <w:r w:rsidDel="00000000" w:rsidR="00000000" w:rsidRPr="00000000">
        <w:rPr>
          <w:rtl w:val="0"/>
        </w:rPr>
        <w:t xml:space="preserve"> Lim, B., Arık, S. Ö., Loeff, N., &amp; Pfister, T. (2021). Temporal fusion transformers for interpretable multi-horizon time series forecasting. </w:t>
      </w:r>
      <w:r w:rsidDel="00000000" w:rsidR="00000000" w:rsidRPr="00000000">
        <w:rPr>
          <w:i w:val="1"/>
          <w:iCs w:val="1"/>
          <w:rtl w:val="0"/>
        </w:rPr>
        <w:t xml:space="preserve">International Journal of Forecasting</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(4), 1748–1764.</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https://doi.org/10.1016/j.ijforecast.2021.03.012</w:t>
        </w:r>
      </w:hyperlink>
      <w:r w:rsidDel="00000000" w:rsidR="00000000" w:rsidRPr="00000000">
        <w:rPr>
          <w:rtl w:val="0"/>
        </w:rPr>
      </w:r>
    </w:p>
    <w:p w:rsidR="00000000" w:rsidDel="00000000" w:rsidP="00000000" w:rsidRDefault="00000000" w:rsidRPr="00000000" w14:paraId="0000020B">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0" w:before="0" w:line="240" w:lineRule="auto"/>
        <w:jc w:val="left"/>
        <w:rPr/>
      </w:pPr>
      <w:bookmarkStart w:colFirst="0" w:colLast="0" w:name="_heading=h.tne8egiw5jtw" w:id="54"/>
      <w:bookmarkEnd w:id="54"/>
      <w:r w:rsidDel="00000000" w:rsidR="00000000" w:rsidRPr="00000000">
        <w:rPr>
          <w:rtl w:val="0"/>
        </w:rPr>
        <w:t xml:space="preserve">Índice de Acrónimos</w:t>
      </w:r>
    </w:p>
    <w:p w:rsidR="00000000" w:rsidDel="00000000" w:rsidP="00000000" w:rsidRDefault="00000000" w:rsidRPr="00000000" w14:paraId="0000020D">
      <w:pPr>
        <w:numPr>
          <w:ilvl w:val="0"/>
          <w:numId w:val="3"/>
        </w:numPr>
        <w:ind w:left="720" w:hanging="360"/>
      </w:pPr>
      <w:r w:rsidDel="00000000" w:rsidR="00000000" w:rsidRPr="00000000">
        <w:rPr>
          <w:b w:val="1"/>
          <w:bCs w:val="1"/>
          <w:rtl w:val="0"/>
        </w:rPr>
        <w:t xml:space="preserve">ACLED:</w:t>
      </w:r>
      <w:r w:rsidDel="00000000" w:rsidR="00000000" w:rsidRPr="00000000">
        <w:rPr>
          <w:rtl w:val="0"/>
        </w:rPr>
        <w:t xml:space="preserve"> Armed Conflict Location &amp; Event Data Project</w:t>
      </w:r>
    </w:p>
    <w:p w:rsidR="00000000" w:rsidDel="00000000" w:rsidP="00000000" w:rsidRDefault="00000000" w:rsidRPr="00000000" w14:paraId="0000020E">
      <w:pPr>
        <w:numPr>
          <w:ilvl w:val="0"/>
          <w:numId w:val="3"/>
        </w:numPr>
        <w:ind w:left="720" w:hanging="360"/>
      </w:pPr>
      <w:r w:rsidDel="00000000" w:rsidR="00000000" w:rsidRPr="00000000">
        <w:rPr>
          <w:b w:val="1"/>
          <w:bCs w:val="1"/>
          <w:rtl w:val="0"/>
        </w:rPr>
        <w:t xml:space="preserve">ARIMA:</w:t>
      </w:r>
      <w:r w:rsidDel="00000000" w:rsidR="00000000" w:rsidRPr="00000000">
        <w:rPr>
          <w:rtl w:val="0"/>
        </w:rPr>
        <w:t xml:space="preserve"> AutoRegressive Integrated Moving Average</w:t>
      </w:r>
    </w:p>
    <w:p w:rsidR="00000000" w:rsidDel="00000000" w:rsidP="00000000" w:rsidRDefault="00000000" w:rsidRPr="00000000" w14:paraId="0000020F">
      <w:pPr>
        <w:numPr>
          <w:ilvl w:val="0"/>
          <w:numId w:val="3"/>
        </w:numPr>
        <w:ind w:left="720" w:hanging="360"/>
      </w:pPr>
      <w:r w:rsidDel="00000000" w:rsidR="00000000" w:rsidRPr="00000000">
        <w:rPr>
          <w:b w:val="1"/>
          <w:bCs w:val="1"/>
          <w:rtl w:val="0"/>
        </w:rPr>
        <w:t xml:space="preserve">BCE: </w:t>
      </w:r>
      <w:r w:rsidDel="00000000" w:rsidR="00000000" w:rsidRPr="00000000">
        <w:rPr>
          <w:rtl w:val="0"/>
        </w:rPr>
        <w:t xml:space="preserve">Banco Central Europeo</w:t>
      </w:r>
    </w:p>
    <w:p w:rsidR="00000000" w:rsidDel="00000000" w:rsidP="00000000" w:rsidRDefault="00000000" w:rsidRPr="00000000" w14:paraId="00000210">
      <w:pPr>
        <w:numPr>
          <w:ilvl w:val="0"/>
          <w:numId w:val="3"/>
        </w:numPr>
        <w:ind w:left="720" w:hanging="360"/>
      </w:pPr>
      <w:r w:rsidDel="00000000" w:rsidR="00000000" w:rsidRPr="00000000">
        <w:rPr>
          <w:b w:val="1"/>
          <w:bCs w:val="1"/>
          <w:rtl w:val="0"/>
        </w:rPr>
        <w:t xml:space="preserve">CAMEO: </w:t>
      </w:r>
      <w:r w:rsidDel="00000000" w:rsidR="00000000" w:rsidRPr="00000000">
        <w:rPr>
          <w:rtl w:val="0"/>
        </w:rPr>
        <w:t xml:space="preserve">Conflict and Mediation Event Observations</w:t>
      </w:r>
    </w:p>
    <w:p w:rsidR="00000000" w:rsidDel="00000000" w:rsidP="00000000" w:rsidRDefault="00000000" w:rsidRPr="00000000" w14:paraId="00000211">
      <w:pPr>
        <w:numPr>
          <w:ilvl w:val="0"/>
          <w:numId w:val="3"/>
        </w:numPr>
        <w:ind w:left="720" w:hanging="360"/>
      </w:pPr>
      <w:r w:rsidDel="00000000" w:rsidR="00000000" w:rsidRPr="00000000">
        <w:rPr>
          <w:b w:val="1"/>
          <w:bCs w:val="1"/>
          <w:rtl w:val="0"/>
        </w:rPr>
        <w:t xml:space="preserve">DXY:</w:t>
      </w:r>
      <w:r w:rsidDel="00000000" w:rsidR="00000000" w:rsidRPr="00000000">
        <w:rPr>
          <w:rtl w:val="0"/>
        </w:rPr>
        <w:t xml:space="preserve"> US Dollar Index</w:t>
      </w:r>
    </w:p>
    <w:p w:rsidR="00000000" w:rsidDel="00000000" w:rsidP="00000000" w:rsidRDefault="00000000" w:rsidRPr="00000000" w14:paraId="00000212">
      <w:pPr>
        <w:numPr>
          <w:ilvl w:val="0"/>
          <w:numId w:val="3"/>
        </w:numPr>
        <w:ind w:left="720" w:hanging="360"/>
      </w:pPr>
      <w:r w:rsidDel="00000000" w:rsidR="00000000" w:rsidRPr="00000000">
        <w:rPr>
          <w:b w:val="1"/>
          <w:bCs w:val="1"/>
          <w:rtl w:val="0"/>
        </w:rPr>
        <w:t xml:space="preserve">FIPS: </w:t>
      </w:r>
      <w:r w:rsidDel="00000000" w:rsidR="00000000" w:rsidRPr="00000000">
        <w:rPr>
          <w:rtl w:val="0"/>
        </w:rPr>
        <w:t xml:space="preserve">Federal Information Processing Standards</w:t>
      </w:r>
    </w:p>
    <w:p w:rsidR="00000000" w:rsidDel="00000000" w:rsidP="00000000" w:rsidRDefault="00000000" w:rsidRPr="00000000" w14:paraId="00000213">
      <w:pPr>
        <w:numPr>
          <w:ilvl w:val="0"/>
          <w:numId w:val="3"/>
        </w:numPr>
        <w:ind w:left="720" w:hanging="360"/>
      </w:pPr>
      <w:r w:rsidDel="00000000" w:rsidR="00000000" w:rsidRPr="00000000">
        <w:rPr>
          <w:b w:val="1"/>
          <w:bCs w:val="1"/>
          <w:rtl w:val="0"/>
        </w:rPr>
        <w:t xml:space="preserve">FSTGAT:</w:t>
      </w:r>
      <w:r w:rsidDel="00000000" w:rsidR="00000000" w:rsidRPr="00000000">
        <w:rPr>
          <w:rtl w:val="0"/>
        </w:rPr>
        <w:t xml:space="preserve"> Financial Spatio-Temporal Graph Attention Network</w:t>
      </w:r>
    </w:p>
    <w:p w:rsidR="00000000" w:rsidDel="00000000" w:rsidP="00000000" w:rsidRDefault="00000000" w:rsidRPr="00000000" w14:paraId="00000214">
      <w:pPr>
        <w:numPr>
          <w:ilvl w:val="0"/>
          <w:numId w:val="3"/>
        </w:numPr>
        <w:ind w:left="720" w:hanging="360"/>
      </w:pPr>
      <w:r w:rsidDel="00000000" w:rsidR="00000000" w:rsidRPr="00000000">
        <w:rPr>
          <w:b w:val="1"/>
          <w:bCs w:val="1"/>
          <w:rtl w:val="0"/>
        </w:rPr>
        <w:t xml:space="preserve">GARCH:</w:t>
      </w:r>
      <w:r w:rsidDel="00000000" w:rsidR="00000000" w:rsidRPr="00000000">
        <w:rPr>
          <w:rtl w:val="0"/>
        </w:rPr>
        <w:t xml:space="preserve"> Generalized Autoregressive Conditional Heteroskedasticity</w:t>
      </w:r>
    </w:p>
    <w:p w:rsidR="00000000" w:rsidDel="00000000" w:rsidP="00000000" w:rsidRDefault="00000000" w:rsidRPr="00000000" w14:paraId="00000215">
      <w:pPr>
        <w:numPr>
          <w:ilvl w:val="0"/>
          <w:numId w:val="3"/>
        </w:numPr>
        <w:ind w:left="720" w:hanging="360"/>
      </w:pPr>
      <w:r w:rsidDel="00000000" w:rsidR="00000000" w:rsidRPr="00000000">
        <w:rPr>
          <w:b w:val="1"/>
          <w:bCs w:val="1"/>
          <w:rtl w:val="0"/>
        </w:rPr>
        <w:t xml:space="preserve">GAT:</w:t>
      </w:r>
      <w:r w:rsidDel="00000000" w:rsidR="00000000" w:rsidRPr="00000000">
        <w:rPr>
          <w:rtl w:val="0"/>
        </w:rPr>
        <w:t xml:space="preserve"> Graph Attention Network</w:t>
      </w:r>
    </w:p>
    <w:p w:rsidR="00000000" w:rsidDel="00000000" w:rsidP="00000000" w:rsidRDefault="00000000" w:rsidRPr="00000000" w14:paraId="00000216">
      <w:pPr>
        <w:numPr>
          <w:ilvl w:val="0"/>
          <w:numId w:val="3"/>
        </w:numPr>
        <w:ind w:left="720" w:hanging="360"/>
      </w:pPr>
      <w:r w:rsidDel="00000000" w:rsidR="00000000" w:rsidRPr="00000000">
        <w:rPr>
          <w:b w:val="1"/>
          <w:bCs w:val="1"/>
          <w:rtl w:val="0"/>
        </w:rPr>
        <w:t xml:space="preserve">GDELT: </w:t>
      </w:r>
      <w:r w:rsidDel="00000000" w:rsidR="00000000" w:rsidRPr="00000000">
        <w:rPr>
          <w:rtl w:val="0"/>
        </w:rPr>
        <w:t xml:space="preserve">Global Database of Events, Language, and Tone</w:t>
      </w:r>
    </w:p>
    <w:p w:rsidR="00000000" w:rsidDel="00000000" w:rsidP="00000000" w:rsidRDefault="00000000" w:rsidRPr="00000000" w14:paraId="00000217">
      <w:pPr>
        <w:numPr>
          <w:ilvl w:val="0"/>
          <w:numId w:val="3"/>
        </w:numPr>
        <w:ind w:left="720" w:hanging="360"/>
      </w:pPr>
      <w:r w:rsidDel="00000000" w:rsidR="00000000" w:rsidRPr="00000000">
        <w:rPr>
          <w:b w:val="1"/>
          <w:bCs w:val="1"/>
          <w:rtl w:val="0"/>
        </w:rPr>
        <w:t xml:space="preserve">GICS: </w:t>
      </w:r>
      <w:r w:rsidDel="00000000" w:rsidR="00000000" w:rsidRPr="00000000">
        <w:rPr>
          <w:rtl w:val="0"/>
        </w:rPr>
        <w:t xml:space="preserve">Global Industry Classification Standard</w:t>
      </w:r>
    </w:p>
    <w:p w:rsidR="00000000" w:rsidDel="00000000" w:rsidP="00000000" w:rsidRDefault="00000000" w:rsidRPr="00000000" w14:paraId="00000218">
      <w:pPr>
        <w:numPr>
          <w:ilvl w:val="0"/>
          <w:numId w:val="3"/>
        </w:numPr>
        <w:ind w:left="720" w:hanging="360"/>
      </w:pPr>
      <w:r w:rsidDel="00000000" w:rsidR="00000000" w:rsidRPr="00000000">
        <w:rPr>
          <w:b w:val="1"/>
          <w:bCs w:val="1"/>
          <w:rtl w:val="0"/>
        </w:rPr>
        <w:t xml:space="preserve">GKG: </w:t>
      </w:r>
      <w:r w:rsidDel="00000000" w:rsidR="00000000" w:rsidRPr="00000000">
        <w:rPr>
          <w:rtl w:val="0"/>
        </w:rPr>
        <w:t xml:space="preserve">Global Knowledge Graph</w:t>
      </w:r>
    </w:p>
    <w:p w:rsidR="00000000" w:rsidDel="00000000" w:rsidP="00000000" w:rsidRDefault="00000000" w:rsidRPr="00000000" w14:paraId="00000219">
      <w:pPr>
        <w:numPr>
          <w:ilvl w:val="0"/>
          <w:numId w:val="3"/>
        </w:numPr>
        <w:ind w:left="720" w:hanging="360"/>
      </w:pPr>
      <w:r w:rsidDel="00000000" w:rsidR="00000000" w:rsidRPr="00000000">
        <w:rPr>
          <w:b w:val="1"/>
          <w:bCs w:val="1"/>
          <w:rtl w:val="0"/>
        </w:rPr>
        <w:t xml:space="preserve">GNN: </w:t>
      </w:r>
      <w:r w:rsidDel="00000000" w:rsidR="00000000" w:rsidRPr="00000000">
        <w:rPr>
          <w:rtl w:val="0"/>
        </w:rPr>
        <w:t xml:space="preserve">Graph Neural Network</w:t>
      </w:r>
    </w:p>
    <w:p w:rsidR="00000000" w:rsidDel="00000000" w:rsidP="00000000" w:rsidRDefault="00000000" w:rsidRPr="00000000" w14:paraId="0000021A">
      <w:pPr>
        <w:numPr>
          <w:ilvl w:val="0"/>
          <w:numId w:val="3"/>
        </w:numPr>
        <w:ind w:left="720" w:hanging="360"/>
      </w:pPr>
      <w:r w:rsidDel="00000000" w:rsidR="00000000" w:rsidRPr="00000000">
        <w:rPr>
          <w:b w:val="1"/>
          <w:bCs w:val="1"/>
          <w:rtl w:val="0"/>
        </w:rPr>
        <w:t xml:space="preserve">GPR: </w:t>
      </w:r>
      <w:r w:rsidDel="00000000" w:rsidR="00000000" w:rsidRPr="00000000">
        <w:rPr>
          <w:rtl w:val="0"/>
        </w:rPr>
        <w:t xml:space="preserve">Geopolitical Risk</w:t>
      </w:r>
    </w:p>
    <w:p w:rsidR="00000000" w:rsidDel="00000000" w:rsidP="00000000" w:rsidRDefault="00000000" w:rsidRPr="00000000" w14:paraId="0000021B">
      <w:pPr>
        <w:numPr>
          <w:ilvl w:val="0"/>
          <w:numId w:val="3"/>
        </w:numPr>
        <w:ind w:left="720" w:hanging="360"/>
      </w:pPr>
      <w:r w:rsidDel="00000000" w:rsidR="00000000" w:rsidRPr="00000000">
        <w:rPr>
          <w:b w:val="1"/>
          <w:bCs w:val="1"/>
          <w:rtl w:val="0"/>
        </w:rPr>
        <w:t xml:space="preserve">GRU:</w:t>
      </w:r>
      <w:r w:rsidDel="00000000" w:rsidR="00000000" w:rsidRPr="00000000">
        <w:rPr>
          <w:rtl w:val="0"/>
        </w:rPr>
        <w:t xml:space="preserve"> Gated Recurrent Unit</w:t>
      </w:r>
    </w:p>
    <w:p w:rsidR="00000000" w:rsidDel="00000000" w:rsidP="00000000" w:rsidRDefault="00000000" w:rsidRPr="00000000" w14:paraId="0000021C">
      <w:pPr>
        <w:numPr>
          <w:ilvl w:val="0"/>
          <w:numId w:val="3"/>
        </w:numPr>
        <w:ind w:left="720" w:hanging="360"/>
      </w:pPr>
      <w:r w:rsidDel="00000000" w:rsidR="00000000" w:rsidRPr="00000000">
        <w:rPr>
          <w:b w:val="1"/>
          <w:bCs w:val="1"/>
          <w:rtl w:val="0"/>
        </w:rPr>
        <w:t xml:space="preserve">HATS: </w:t>
      </w:r>
      <w:r w:rsidDel="00000000" w:rsidR="00000000" w:rsidRPr="00000000">
        <w:rPr>
          <w:rtl w:val="0"/>
        </w:rPr>
        <w:t xml:space="preserve">Hierarchical Graph Attention Network for Stock Movement Prediction</w:t>
      </w:r>
    </w:p>
    <w:p w:rsidR="00000000" w:rsidDel="00000000" w:rsidP="00000000" w:rsidRDefault="00000000" w:rsidRPr="00000000" w14:paraId="0000021D">
      <w:pPr>
        <w:numPr>
          <w:ilvl w:val="0"/>
          <w:numId w:val="3"/>
        </w:numPr>
        <w:ind w:left="720" w:hanging="360"/>
      </w:pPr>
      <w:r w:rsidDel="00000000" w:rsidR="00000000" w:rsidRPr="00000000">
        <w:rPr>
          <w:b w:val="1"/>
          <w:bCs w:val="1"/>
          <w:rtl w:val="0"/>
        </w:rPr>
        <w:t xml:space="preserve">HGNN:</w:t>
      </w:r>
      <w:r w:rsidDel="00000000" w:rsidR="00000000" w:rsidRPr="00000000">
        <w:rPr>
          <w:rtl w:val="0"/>
        </w:rPr>
        <w:t xml:space="preserve"> Heterogeneous Graph Neural Network</w:t>
      </w:r>
    </w:p>
    <w:p w:rsidR="00000000" w:rsidDel="00000000" w:rsidP="00000000" w:rsidRDefault="00000000" w:rsidRPr="00000000" w14:paraId="0000021E">
      <w:pPr>
        <w:numPr>
          <w:ilvl w:val="0"/>
          <w:numId w:val="3"/>
        </w:numPr>
        <w:ind w:left="720" w:hanging="360"/>
      </w:pPr>
      <w:r w:rsidDel="00000000" w:rsidR="00000000" w:rsidRPr="00000000">
        <w:rPr>
          <w:b w:val="1"/>
          <w:bCs w:val="1"/>
          <w:rtl w:val="0"/>
        </w:rPr>
        <w:t xml:space="preserve">HGT:</w:t>
      </w:r>
      <w:r w:rsidDel="00000000" w:rsidR="00000000" w:rsidRPr="00000000">
        <w:rPr>
          <w:rtl w:val="0"/>
        </w:rPr>
        <w:t xml:space="preserve"> Heterogeneous Graph Transformer</w:t>
      </w:r>
    </w:p>
    <w:p w:rsidR="00000000" w:rsidDel="00000000" w:rsidP="00000000" w:rsidRDefault="00000000" w:rsidRPr="00000000" w14:paraId="0000021F">
      <w:pPr>
        <w:numPr>
          <w:ilvl w:val="0"/>
          <w:numId w:val="3"/>
        </w:numPr>
        <w:ind w:left="720" w:hanging="360"/>
      </w:pPr>
      <w:r w:rsidDel="00000000" w:rsidR="00000000" w:rsidRPr="00000000">
        <w:rPr>
          <w:b w:val="1"/>
          <w:bCs w:val="1"/>
          <w:rtl w:val="0"/>
        </w:rPr>
        <w:t xml:space="preserve">ICEWS: </w:t>
      </w:r>
      <w:r w:rsidDel="00000000" w:rsidR="00000000" w:rsidRPr="00000000">
        <w:rPr>
          <w:rtl w:val="0"/>
        </w:rPr>
        <w:t xml:space="preserve">Integrated Crisis Early Warning System</w:t>
      </w:r>
    </w:p>
    <w:p w:rsidR="00000000" w:rsidDel="00000000" w:rsidP="00000000" w:rsidRDefault="00000000" w:rsidRPr="00000000" w14:paraId="00000220">
      <w:pPr>
        <w:numPr>
          <w:ilvl w:val="0"/>
          <w:numId w:val="3"/>
        </w:numPr>
        <w:ind w:left="720" w:hanging="360"/>
      </w:pPr>
      <w:r w:rsidDel="00000000" w:rsidR="00000000" w:rsidRPr="00000000">
        <w:rPr>
          <w:b w:val="1"/>
          <w:bCs w:val="1"/>
          <w:rtl w:val="0"/>
        </w:rPr>
        <w:t xml:space="preserve">LDA: </w:t>
      </w:r>
      <w:r w:rsidDel="00000000" w:rsidR="00000000" w:rsidRPr="00000000">
        <w:rPr>
          <w:rtl w:val="0"/>
        </w:rPr>
        <w:t xml:space="preserve">Latent Dirichlet Allocation</w:t>
      </w:r>
    </w:p>
    <w:p w:rsidR="00000000" w:rsidDel="00000000" w:rsidP="00000000" w:rsidRDefault="00000000" w:rsidRPr="00000000" w14:paraId="00000221">
      <w:pPr>
        <w:numPr>
          <w:ilvl w:val="0"/>
          <w:numId w:val="3"/>
        </w:numPr>
        <w:ind w:left="720" w:hanging="360"/>
      </w:pPr>
      <w:r w:rsidDel="00000000" w:rsidR="00000000" w:rsidRPr="00000000">
        <w:rPr>
          <w:b w:val="1"/>
          <w:bCs w:val="1"/>
          <w:rtl w:val="0"/>
        </w:rPr>
        <w:t xml:space="preserve">LSTM: </w:t>
      </w:r>
      <w:r w:rsidDel="00000000" w:rsidR="00000000" w:rsidRPr="00000000">
        <w:rPr>
          <w:rtl w:val="0"/>
        </w:rPr>
        <w:t xml:space="preserve">Long Short-Term Memory</w:t>
      </w:r>
    </w:p>
    <w:p w:rsidR="00000000" w:rsidDel="00000000" w:rsidP="00000000" w:rsidRDefault="00000000" w:rsidRPr="00000000" w14:paraId="00000222">
      <w:pPr>
        <w:numPr>
          <w:ilvl w:val="0"/>
          <w:numId w:val="3"/>
        </w:numPr>
        <w:ind w:left="720" w:hanging="360"/>
      </w:pPr>
      <w:r w:rsidDel="00000000" w:rsidR="00000000" w:rsidRPr="00000000">
        <w:rPr>
          <w:b w:val="1"/>
          <w:bCs w:val="1"/>
          <w:rtl w:val="0"/>
        </w:rPr>
        <w:t xml:space="preserve">ML: </w:t>
      </w:r>
      <w:r w:rsidDel="00000000" w:rsidR="00000000" w:rsidRPr="00000000">
        <w:rPr>
          <w:rtl w:val="0"/>
        </w:rPr>
        <w:t xml:space="preserve">Machine Learning</w:t>
      </w:r>
    </w:p>
    <w:p w:rsidR="00000000" w:rsidDel="00000000" w:rsidP="00000000" w:rsidRDefault="00000000" w:rsidRPr="00000000" w14:paraId="00000223">
      <w:pPr>
        <w:numPr>
          <w:ilvl w:val="0"/>
          <w:numId w:val="3"/>
        </w:numPr>
        <w:ind w:left="720" w:hanging="360"/>
      </w:pPr>
      <w:r w:rsidDel="00000000" w:rsidR="00000000" w:rsidRPr="00000000">
        <w:rPr>
          <w:b w:val="1"/>
          <w:bCs w:val="1"/>
          <w:rtl w:val="0"/>
        </w:rPr>
        <w:t xml:space="preserve">S&amp;P 500: </w:t>
      </w:r>
      <w:r w:rsidDel="00000000" w:rsidR="00000000" w:rsidRPr="00000000">
        <w:rPr>
          <w:rtl w:val="0"/>
        </w:rPr>
        <w:t xml:space="preserve">Standard &amp; Poor's 500</w:t>
      </w:r>
    </w:p>
    <w:p w:rsidR="00000000" w:rsidDel="00000000" w:rsidP="00000000" w:rsidRDefault="00000000" w:rsidRPr="00000000" w14:paraId="00000224">
      <w:pPr>
        <w:numPr>
          <w:ilvl w:val="0"/>
          <w:numId w:val="3"/>
        </w:numPr>
        <w:ind w:left="720" w:hanging="360"/>
      </w:pPr>
      <w:r w:rsidDel="00000000" w:rsidR="00000000" w:rsidRPr="00000000">
        <w:rPr>
          <w:b w:val="1"/>
          <w:bCs w:val="1"/>
          <w:rtl w:val="0"/>
        </w:rPr>
        <w:t xml:space="preserve">SVM:</w:t>
      </w:r>
      <w:r w:rsidDel="00000000" w:rsidR="00000000" w:rsidRPr="00000000">
        <w:rPr>
          <w:rtl w:val="0"/>
        </w:rPr>
        <w:t xml:space="preserve"> Support Vector Machine</w:t>
      </w:r>
    </w:p>
    <w:p w:rsidR="00000000" w:rsidDel="00000000" w:rsidP="00000000" w:rsidRDefault="00000000" w:rsidRPr="00000000" w14:paraId="00000225">
      <w:pPr>
        <w:numPr>
          <w:ilvl w:val="0"/>
          <w:numId w:val="3"/>
        </w:numPr>
        <w:ind w:left="720" w:hanging="360"/>
      </w:pPr>
      <w:r w:rsidDel="00000000" w:rsidR="00000000" w:rsidRPr="00000000">
        <w:rPr>
          <w:b w:val="1"/>
          <w:bCs w:val="1"/>
          <w:rtl w:val="0"/>
        </w:rPr>
        <w:t xml:space="preserve">SVR:</w:t>
      </w:r>
      <w:r w:rsidDel="00000000" w:rsidR="00000000" w:rsidRPr="00000000">
        <w:rPr>
          <w:rtl w:val="0"/>
        </w:rPr>
        <w:t xml:space="preserve"> Support Vector Regression</w:t>
      </w:r>
    </w:p>
    <w:p w:rsidR="00000000" w:rsidDel="00000000" w:rsidP="00000000" w:rsidRDefault="00000000" w:rsidRPr="00000000" w14:paraId="00000226">
      <w:pPr>
        <w:numPr>
          <w:ilvl w:val="0"/>
          <w:numId w:val="3"/>
        </w:numPr>
        <w:ind w:left="720" w:hanging="360"/>
      </w:pPr>
      <w:r w:rsidDel="00000000" w:rsidR="00000000" w:rsidRPr="00000000">
        <w:rPr>
          <w:b w:val="1"/>
          <w:bCs w:val="1"/>
          <w:rtl w:val="0"/>
        </w:rPr>
        <w:t xml:space="preserve">TFE: </w:t>
      </w:r>
      <w:r w:rsidDel="00000000" w:rsidR="00000000" w:rsidRPr="00000000">
        <w:rPr>
          <w:rtl w:val="0"/>
        </w:rPr>
        <w:t xml:space="preserve">Trabajo Fin de Estudios</w:t>
      </w:r>
    </w:p>
    <w:p w:rsidR="00000000" w:rsidDel="00000000" w:rsidP="00000000" w:rsidRDefault="00000000" w:rsidRPr="00000000" w14:paraId="00000227">
      <w:pPr>
        <w:numPr>
          <w:ilvl w:val="0"/>
          <w:numId w:val="3"/>
        </w:numPr>
        <w:ind w:left="720" w:hanging="360"/>
      </w:pPr>
      <w:r w:rsidDel="00000000" w:rsidR="00000000" w:rsidRPr="00000000">
        <w:rPr>
          <w:b w:val="1"/>
          <w:bCs w:val="1"/>
          <w:rtl w:val="0"/>
        </w:rPr>
        <w:t xml:space="preserve">TFT: </w:t>
      </w:r>
      <w:r w:rsidDel="00000000" w:rsidR="00000000" w:rsidRPr="00000000">
        <w:rPr>
          <w:rtl w:val="0"/>
        </w:rPr>
        <w:t xml:space="preserve">Temporal Fusion Transformer</w:t>
      </w:r>
    </w:p>
    <w:p w:rsidR="00000000" w:rsidDel="00000000" w:rsidP="00000000" w:rsidRDefault="00000000" w:rsidRPr="00000000" w14:paraId="00000228">
      <w:pPr>
        <w:numPr>
          <w:ilvl w:val="0"/>
          <w:numId w:val="3"/>
        </w:numPr>
        <w:ind w:left="720" w:hanging="360"/>
      </w:pPr>
      <w:r w:rsidDel="00000000" w:rsidR="00000000" w:rsidRPr="00000000">
        <w:rPr>
          <w:b w:val="1"/>
          <w:bCs w:val="1"/>
          <w:rtl w:val="0"/>
        </w:rPr>
        <w:t xml:space="preserve">URL:</w:t>
      </w:r>
      <w:r w:rsidDel="00000000" w:rsidR="00000000" w:rsidRPr="00000000">
        <w:rPr>
          <w:rtl w:val="0"/>
        </w:rPr>
        <w:t xml:space="preserve"> Uniform Resource Locator</w:t>
      </w:r>
    </w:p>
    <w:p w:rsidR="00000000" w:rsidDel="00000000" w:rsidP="00000000" w:rsidRDefault="00000000" w:rsidRPr="00000000" w14:paraId="00000229">
      <w:pPr>
        <w:numPr>
          <w:ilvl w:val="0"/>
          <w:numId w:val="3"/>
        </w:numPr>
        <w:ind w:left="720" w:hanging="360"/>
      </w:pPr>
      <w:r w:rsidDel="00000000" w:rsidR="00000000" w:rsidRPr="00000000">
        <w:rPr>
          <w:b w:val="1"/>
          <w:bCs w:val="1"/>
          <w:rtl w:val="0"/>
        </w:rPr>
        <w:t xml:space="preserve">VIX:</w:t>
      </w:r>
      <w:r w:rsidDel="00000000" w:rsidR="00000000" w:rsidRPr="00000000">
        <w:rPr>
          <w:rtl w:val="0"/>
        </w:rPr>
        <w:t xml:space="preserve"> CBOE Volatility Index</w:t>
      </w:r>
    </w:p>
    <w:p w:rsidR="00000000" w:rsidDel="00000000" w:rsidP="00000000" w:rsidRDefault="00000000" w:rsidRPr="00000000" w14:paraId="0000022A">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2B">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bookmarkStart w:colFirst="0" w:colLast="0" w:name="_heading=h.k3cxu59xvah4" w:id="55"/>
      <w:bookmarkEnd w:id="55"/>
      <w:r w:rsidDel="00000000" w:rsidR="00000000" w:rsidRPr="00000000">
        <w:rPr>
          <w:rFonts w:ascii="Calibri" w:cs="Calibri" w:eastAsia="Calibri" w:hAnsi="Calibri"/>
          <w:b w:val="0"/>
          <w:bCs w:val="0"/>
          <w:i w:val="0"/>
          <w:iCs w:val="0"/>
          <w:smallCaps w:val="0"/>
          <w:strike w:val="0"/>
          <w:color w:val="0098cd"/>
          <w:sz w:val="36"/>
          <w:szCs w:val="36"/>
          <w:u w:val="none"/>
          <w:shd w:fill="auto" w:val="clear"/>
          <w:vertAlign w:val="baseline"/>
          <w:rtl w:val="0"/>
        </w:rPr>
        <w:t xml:space="preserve">Código fuente y datos analizados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type w:val="nextPage"/>
      <w:pgSz w:h="16838" w:w="11906" w:orient="portrait"/>
      <w:pgMar w:bottom="1418" w:top="1418" w:left="1701"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 Aguilo" w:id="6" w:date="2026-05-20T11:48:52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el tercer diagrama: la arquitectura del modelo, desde la proyección inicial de características, pasando por las capas de message passing con atención, hasta la obtención del embedding del nodo mercado.</w:t>
      </w:r>
    </w:p>
  </w:comment>
  <w:comment w:author="Francesc Aguilo" w:id="7" w:date="2026-05-20T15:56:54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esto tengo todavia mis dudas</w:t>
      </w:r>
    </w:p>
  </w:comment>
  <w:comment w:author="Francesc Aguilo" w:id="0" w:date="2026-05-18T11:32:42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borrado todo el texto que te explicaba cada apartado, pero en documentos tenemos la plantilla original donde pone cada cosa, pero era un lio y para que no fuera un caos aqui si quieres solo escribimos lo que vamos haciendo</w:t>
      </w:r>
    </w:p>
  </w:comment>
  <w:comment w:author="Francesc Aguilo" w:id="5" w:date="2026-05-20T10:27:5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el segundo diagrama: un esquema del grafo heterogéneo mostrando los dos tipos de nodo, los dos tipos de arista y, esquemáticamente, las características que lleva cada elemento.</w:t>
      </w:r>
    </w:p>
  </w:comment>
  <w:comment w:author="Francesc Aguilo" w:id="4" w:date="2026-05-20T10:18:28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817610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Insertar un diagrama de bloques: GDELT filtrado + datos de mercado → construcción del grafo dinámico → HGNN → embedding del nodo mercado → clasificador ternario. Es el primero de los tres diagramas recomendados.</w:t>
          </w:r>
        </w:sdtContent>
      </w:sdt>
    </w:p>
  </w:comment>
  <w:comment w:author="Francesc Aguilo" w:id="3" w:date="2026-05-18T11:12:18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he puesto la sintesis aqui del estado del arte</w:t>
      </w:r>
    </w:p>
  </w:comment>
  <w:comment w:author="Francesc Aguilo" w:id="1" w:date="2026-05-18T11:51:58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cambiado el título la parte del final de machine learning a ML para que quepa en una frase en la parte de arriba de la plantilla en cada hoja, sino queda muy raro pero creo que es incorrecto</w:t>
      </w:r>
    </w:p>
  </w:comment>
  <w:comment w:author="Francesc Aguilo" w:id="2" w:date="2026-05-18T11:14:28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teorico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2" w15:done="0"/>
  <w15:commentEx w15:paraId="00000233" w15:done="0"/>
  <w15:commentEx w15:paraId="00000234" w15:done="0"/>
  <w15:commentEx w15:paraId="00000235" w15:done="0"/>
  <w15:commentEx w15:paraId="00000236" w15:done="0"/>
  <w15:commentEx w15:paraId="00000237" w15:done="0"/>
  <w15:commentEx w15:paraId="00000238" w15:done="0"/>
  <w15:commentEx w15:paraId="000002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sz w:val="20"/>
        <w:szCs w:val="20"/>
      </w:rPr>
    </w:pPr>
    <w:r w:rsidDel="00000000" w:rsidR="00000000" w:rsidRPr="00000000">
      <w:rPr>
        <w:sz w:val="20"/>
        <w:szCs w:val="20"/>
        <w:rtl w:val="0"/>
      </w:rPr>
      <w:t xml:space="preserve">Francesc Aguiló Franch &amp; Ricard Martín i García </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i w:val="1"/>
        <w:iCs w:val="1"/>
        <w:sz w:val="18"/>
        <w:szCs w:val="18"/>
      </w:rPr>
    </w:pPr>
    <w:r w:rsidDel="00000000" w:rsidR="00000000" w:rsidRPr="00000000">
      <w:rPr>
        <w:i w:val="1"/>
        <w:iCs w:val="1"/>
        <w:sz w:val="18"/>
        <w:szCs w:val="18"/>
        <w:rtl w:val="0"/>
      </w:rPr>
      <w:t xml:space="preserve">Predicción de movimientos de mercado financiero a corto plazo a partir de eventos geopolíticos mediante técnicas de ML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1000" w:hanging="432"/>
      </w:pPr>
      <w:rPr/>
    </w:lvl>
    <w:lvl w:ilvl="2">
      <w:start w:val="1"/>
      <w:numFmt w:val="decimal"/>
      <w:lvlText w:val="%1.%2.%3."/>
      <w:lvlJc w:val="left"/>
      <w:pPr>
        <w:ind w:left="3198" w:hanging="503.99999999999955"/>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upperLetter"/>
      <w:lvlText w:val="Anexo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60" w:hanging="360"/>
    </w:pPr>
    <w:rPr>
      <w:rFonts w:ascii="Calibri" w:cs="Calibri" w:eastAsia="Calibri" w:hAnsi="Calibri"/>
      <w:smallCaps w:val="1"/>
      <w:color w:val="0098cd"/>
      <w:sz w:val="36"/>
      <w:szCs w:val="36"/>
    </w:rPr>
  </w:style>
  <w:style w:type="paragraph" w:styleId="Heading2">
    <w:name w:val="heading 2"/>
    <w:basedOn w:val="Normal"/>
    <w:next w:val="Normal"/>
    <w:pPr>
      <w:keepNext w:val="1"/>
      <w:ind w:left="1000" w:hanging="432"/>
    </w:pPr>
    <w:rPr>
      <w:rFonts w:ascii="Calibri" w:cs="Calibri" w:eastAsia="Calibri" w:hAnsi="Calibri"/>
      <w:smallCaps w:val="1"/>
      <w:color w:val="0098cd"/>
      <w:sz w:val="28"/>
      <w:szCs w:val="28"/>
    </w:rPr>
  </w:style>
  <w:style w:type="paragraph" w:styleId="Heading3">
    <w:name w:val="heading 3"/>
    <w:basedOn w:val="Normal"/>
    <w:next w:val="Normal"/>
    <w:pPr>
      <w:keepNext w:val="1"/>
      <w:ind w:left="709"/>
    </w:pPr>
    <w:rPr>
      <w:color w:val="3d85c6"/>
    </w:rPr>
  </w:style>
  <w:style w:type="paragraph" w:styleId="Heading4">
    <w:name w:val="heading 4"/>
    <w:basedOn w:val="Normal"/>
    <w:next w:val="Normal"/>
    <w:pPr>
      <w:ind w:left="851" w:hanging="851"/>
    </w:pPr>
    <w:rPr/>
  </w:style>
  <w:style w:type="paragraph" w:styleId="Heading5">
    <w:name w:val="heading 5"/>
    <w:basedOn w:val="Normal"/>
    <w:next w:val="Normal"/>
    <w:pPr>
      <w:spacing w:after="60" w:before="240" w:lineRule="auto"/>
      <w:ind w:left="1716"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860" w:hanging="1152"/>
    </w:pPr>
    <w:rPr>
      <w:rFonts w:ascii="Calibri" w:cs="Calibri" w:eastAsia="Calibri" w:hAnsi="Calibri"/>
      <w:b w:val="1"/>
      <w:bCs w:val="1"/>
    </w:rPr>
  </w:style>
  <w:style w:type="paragraph" w:styleId="Title">
    <w:name w:val="Title"/>
    <w:basedOn w:val="Normal"/>
    <w:next w:val="Normal"/>
    <w:pPr/>
    <w:rPr>
      <w:i w:val="1"/>
      <w:iCs w:val="1"/>
    </w:rPr>
  </w:style>
  <w:style w:type="paragraph" w:styleId="Subtitle">
    <w:name w:val="Subtitle"/>
    <w:basedOn w:val="Normal"/>
    <w:next w:val="Normal"/>
    <w:pPr>
      <w:keepNext w:val="1"/>
      <w:keepLines w:val="1"/>
      <w:spacing w:after="80" w:before="0" w:line="276" w:lineRule="auto"/>
      <w:ind w:left="720" w:firstLine="0"/>
    </w:pPr>
    <w:rPr>
      <w:rFonts w:ascii="Courier New" w:cs="Courier New" w:eastAsia="Courier New" w:hAnsi="Courier New"/>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BF00994018" TargetMode="External"/><Relationship Id="rId20" Type="http://schemas.openxmlformats.org/officeDocument/2006/relationships/image" Target="media/image5.png"/><Relationship Id="rId42" Type="http://schemas.openxmlformats.org/officeDocument/2006/relationships/hyperlink" Target="https://doi.org/10.1023/A:1010933404324" TargetMode="External"/><Relationship Id="rId41" Type="http://schemas.openxmlformats.org/officeDocument/2006/relationships/hyperlink" Target="https://doi.org/10.1023/A:1010933404324" TargetMode="External"/><Relationship Id="rId22" Type="http://schemas.openxmlformats.org/officeDocument/2006/relationships/image" Target="media/image4.png"/><Relationship Id="rId44" Type="http://schemas.openxmlformats.org/officeDocument/2006/relationships/hyperlink" Target="https://doi.org/10.1162/neco.1997.9.8.1735" TargetMode="External"/><Relationship Id="rId21" Type="http://schemas.openxmlformats.org/officeDocument/2006/relationships/image" Target="media/image6.png"/><Relationship Id="rId43" Type="http://schemas.openxmlformats.org/officeDocument/2006/relationships/hyperlink" Target="https://doi.org/10.1162/neco.1997.9.8.1735" TargetMode="External"/><Relationship Id="rId24" Type="http://schemas.openxmlformats.org/officeDocument/2006/relationships/hyperlink" Target="https://doi.org/10.1257/aer.20191823" TargetMode="External"/><Relationship Id="rId46" Type="http://schemas.openxmlformats.org/officeDocument/2006/relationships/hyperlink" Target="https://doi.org/10.1016/j.ijforecast.2021.03.012" TargetMode="External"/><Relationship Id="rId23" Type="http://schemas.openxmlformats.org/officeDocument/2006/relationships/hyperlink" Target="https://doi.org/10.1257/aer.20191823" TargetMode="External"/><Relationship Id="rId45" Type="http://schemas.openxmlformats.org/officeDocument/2006/relationships/hyperlink" Target="https://doi.org/10.1016/j.ijforecast.2021.03.01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doi.org/10.1016/j.irfa.2023.102545" TargetMode="External"/><Relationship Id="rId25" Type="http://schemas.openxmlformats.org/officeDocument/2006/relationships/hyperlink" Target="https://doi.org/10.1016/j.irfa.2023.102545" TargetMode="External"/><Relationship Id="rId28" Type="http://schemas.openxmlformats.org/officeDocument/2006/relationships/hyperlink" Target="https://doi.org/10.3390/a12010001" TargetMode="External"/><Relationship Id="rId27" Type="http://schemas.openxmlformats.org/officeDocument/2006/relationships/hyperlink" Target="https://doi.org/10.3390/a1201000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opensiuc.lib.siu.edu/theses/2178/"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6/j.inffus.2024.102616" TargetMode="External"/><Relationship Id="rId30" Type="http://schemas.openxmlformats.org/officeDocument/2006/relationships/hyperlink" Target="https://opensiuc.lib.siu.edu/theses/2178/" TargetMode="External"/><Relationship Id="rId11" Type="http://schemas.openxmlformats.org/officeDocument/2006/relationships/footer" Target="footer1.xml"/><Relationship Id="rId33" Type="http://schemas.openxmlformats.org/officeDocument/2006/relationships/hyperlink" Target="https://doi.org/10.2307/2325486" TargetMode="External"/><Relationship Id="rId10" Type="http://schemas.openxmlformats.org/officeDocument/2006/relationships/header" Target="header1.xml"/><Relationship Id="rId32" Type="http://schemas.openxmlformats.org/officeDocument/2006/relationships/hyperlink" Target="https://doi.org/10.1016/j.inffus.2024.102616" TargetMode="External"/><Relationship Id="rId13" Type="http://schemas.openxmlformats.org/officeDocument/2006/relationships/hyperlink" Target="https://freerepublic.com/tag/*/index" TargetMode="External"/><Relationship Id="rId35" Type="http://schemas.openxmlformats.org/officeDocument/2006/relationships/hyperlink" Target="https://doi.org/10.1145/3696411" TargetMode="External"/><Relationship Id="rId12" Type="http://schemas.openxmlformats.org/officeDocument/2006/relationships/hyperlink" Target="https://targetednews.com/pr_disp.php" TargetMode="External"/><Relationship Id="rId34" Type="http://schemas.openxmlformats.org/officeDocument/2006/relationships/hyperlink" Target="https://doi.org/10.2307/2325486" TargetMode="External"/><Relationship Id="rId15" Type="http://schemas.openxmlformats.org/officeDocument/2006/relationships/image" Target="media/image3.png"/><Relationship Id="rId37" Type="http://schemas.openxmlformats.org/officeDocument/2006/relationships/hyperlink" Target="https://doi.org/10.3390/sym17081344" TargetMode="External"/><Relationship Id="rId14" Type="http://schemas.openxmlformats.org/officeDocument/2006/relationships/hyperlink" Target="https://ismatimes.com/gttci-ethiopian-coffee-evening-farewell" TargetMode="External"/><Relationship Id="rId36" Type="http://schemas.openxmlformats.org/officeDocument/2006/relationships/hyperlink" Target="https://doi.org/10.1145/3696411" TargetMode="External"/><Relationship Id="rId17" Type="http://schemas.openxmlformats.org/officeDocument/2006/relationships/hyperlink" Target="https://13wham.com/news/local/suspected-hantavirus-case-in-ontario-county-involves-" TargetMode="External"/><Relationship Id="rId39" Type="http://schemas.openxmlformats.org/officeDocument/2006/relationships/hyperlink" Target="https://doi.org/10.1007/BF00994018" TargetMode="External"/><Relationship Id="rId16" Type="http://schemas.openxmlformats.org/officeDocument/2006/relationships/hyperlink" Target="http://www.bgnes.com/politics/trump-warns-taiwan-not-to-move-toward-independence" TargetMode="External"/><Relationship Id="rId38" Type="http://schemas.openxmlformats.org/officeDocument/2006/relationships/hyperlink" Target="https://doi.org/10.1257/089533003321164967" TargetMode="External"/><Relationship Id="rId19" Type="http://schemas.openxmlformats.org/officeDocument/2006/relationships/image" Target="media/image2.png"/><Relationship Id="rId18" Type="http://schemas.openxmlformats.org/officeDocument/2006/relationships/hyperlink" Target="http://www.heraldglobe.com/news/.../amid-spiralling-relations-cuban-government-meets-c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YxmD94PcBinsKMBPM+E/yGuA==">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MediaServiceImageTags</vt:lpwstr>
  </property>
</Properties>
</file>