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9B" w:rsidRDefault="004E0929">
      <w:hyperlink r:id="rId4" w:history="1">
        <w:r w:rsidRPr="00A450EF">
          <w:rPr>
            <w:rStyle w:val="Hipervnculo"/>
          </w:rPr>
          <w:t>https://lastminuteengineers.com/bme280-arduino-tutorial/#procedure-to-change-i2c-address</w:t>
        </w:r>
      </w:hyperlink>
    </w:p>
    <w:p w:rsidR="004E0929" w:rsidRDefault="004E0929">
      <w:bookmarkStart w:id="0" w:name="_GoBack"/>
      <w:bookmarkEnd w:id="0"/>
    </w:p>
    <w:sectPr w:rsidR="004E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29"/>
    <w:rsid w:val="004A579B"/>
    <w:rsid w:val="004E0929"/>
    <w:rsid w:val="005927AB"/>
    <w:rsid w:val="005B1541"/>
    <w:rsid w:val="0063424D"/>
    <w:rsid w:val="0075542D"/>
    <w:rsid w:val="00BB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3027-12B5-408F-861C-9B1DF4AA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0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stminuteengineers.com/bme280-arduino-tutorial/#procedure-to-change-i2c-addr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2020-11-18T20:49:00Z</dcterms:created>
  <dcterms:modified xsi:type="dcterms:W3CDTF">2020-11-18T20:50:00Z</dcterms:modified>
</cp:coreProperties>
</file>