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2649F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366433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Pr="00C3372E" w:rsidRDefault="00445C28" w:rsidP="00C3372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445C28" w:rsidRPr="00C3372E" w:rsidRDefault="00445C28" w:rsidP="00C3372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C3372E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C3372E" w:rsidRDefault="00445C28" w:rsidP="00C3372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C3372E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66433" w:rsidRPr="00C3372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366433">
        <w:rPr>
          <w:rFonts w:ascii="Liberation Serif" w:hAnsi="Liberation Serif" w:cs="Liberation Serif"/>
          <w:color w:val="000000"/>
          <w:sz w:val="24"/>
          <w:szCs w:val="24"/>
        </w:rPr>
        <w:t xml:space="preserve"> Isidro Ruíz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Contpaq i® Nominas U. Ba</w:t>
      </w:r>
      <w:r>
        <w:rPr>
          <w:rFonts w:ascii="Calibri" w:hAnsi="Calibri" w:cs="Calibri"/>
        </w:rPr>
        <w:t>se Renovación Renta.</w:t>
      </w:r>
    </w:p>
    <w:p w:rsidR="00366433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Cargo por gastos administrativos por cancelación de pedido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C3372E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366433"/>
    <w:rsid w:val="00445C28"/>
    <w:rsid w:val="007220BC"/>
    <w:rsid w:val="00C3372E"/>
    <w:rsid w:val="00D2649F"/>
    <w:rsid w:val="00D96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2016-03-09T20:40:00Z</dcterms:modified>
</cp:coreProperties>
</file>