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02/02/16 Guadalajara Jal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recolectados en el mes de Enero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Auditor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 xml:space="preserve">Se 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revisaron los resultados de las áreas a evaluar especificadas en el plan de métricas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 xml:space="preserve">Se 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revisó el motivo de la desviación en las áreas afectadas del mes de febrero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A partir de las desviaciones presentadas se agregaron nuevas acciones correctivas para poder mitigar el inconveniente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venir Book" w:hAnsi="Avenir Book" w:cs="OpenSymbol"/>
      <w:b w:val="false"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LibreOffice/4.4.6.3$Linux_X86_64 LibreOffice_project/40m0$Build-3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2016-03-10T09:31:40Z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