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S4. ProlifHub and HepLoss module definitions</w:t>
      </w:r>
    </w:p>
    <w:p>
      <w:pPr>
        <w:pStyle w:val="Normal"/>
      </w:pPr>
      <w:r>
        <w:t xml:space="preserve">Genes included in the compact ProlifHub and HepLoss modules, with available meta-analysis statistics where present.</w:t>
      </w:r>
    </w:p>
    <w:p>
      <w:pPr>
        <w:pStyle w:val="Normal"/>
      </w:pPr>
      <w:r>
        <w:t xml:space="preserve">Source file(s): results/tables/module_gene_panels_top20.tsv;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CAP2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78.1434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7.128e-41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1.760e-35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PLVAP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6.306e-48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6.327e-43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40.7965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2.166e-33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2.627e-34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ITGA6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1.089e-04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RACGAP1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1.640e-38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TTC13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2.181e-30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COL15A1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8.663e-37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GJC1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2.742e-32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UBE2Q1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1.438e-30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BUB1B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1.744e-29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1.246e-31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PTTG1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2.447e-29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76.5076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3.745e-53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2.094e-52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LINC01093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7.692e-48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ADAMTS13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1.424e-49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1.885e-41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ANGPTL6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ADGRG7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CDHR2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1.212e-55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3.365e-60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6.344e-69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0.6958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VIPR1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2.602e-59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9.314e-37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90.2669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CYP1A2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CRHBP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71.2869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3.441e-55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3.558e-45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82.4416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FAHD2A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6.492e-33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5.237e-53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0.0252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1.547e-41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2026-06-17T10:35:39Z</dcterms:modified>
  <cp:category/>
</cp:coreProperties>
</file>