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S5. Multi-cohort module-score validation statistics</w:t>
      </w:r>
    </w:p>
    <w:p>
      <w:pPr>
        <w:pStyle w:val="Normal"/>
      </w:pPr>
      <w:r>
        <w:t xml:space="preserve">Tumor versus non-tumor validation statistics for ProlifHubScore, HepLossScore, and HCCStateScore across independent GEO HCC cohorts.</w:t>
      </w:r>
    </w:p>
    <w:p>
      <w:pPr>
        <w:pStyle w:val="Normal"/>
      </w:pPr>
      <w:r>
        <w:t xml:space="preserve">Source file(s): results/tables/geo_validation_summary.tsv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3.640e-138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1.092e-137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2.928e-169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2.050e-168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3.327e-110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7.762e-110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3.982e-164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1.672e-163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9.316e-211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2.613e-33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4.988e-33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5.194e-31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9.089e-31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1.957e-41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3.443e-132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9.039e-132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2.083e-160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7.291e-160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1.276e-167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3.543e-21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4.133e-21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1.594e-19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9.575e-28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1.436e-27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4.217e-22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5.209e-22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2.963e-25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3.597e-28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5.811e-28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3.144e-16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3.301e-16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1.821e-23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2026-06-17T10:35:40Z</dcterms:modified>
  <cp:category/>
</cp:coreProperties>
</file>