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S6. Module-size robustness statistics</w:t>
      </w:r>
    </w:p>
    <w:p>
      <w:pPr>
        <w:pStyle w:val="Normal"/>
      </w:pPr>
      <w:r>
        <w:t xml:space="preserve">HCCStateScore validation results across alternative module sizes used to assess robustness to the top-20 module definition.</w:t>
      </w:r>
    </w:p>
    <w:p>
      <w:pPr>
        <w:pStyle w:val="Normal"/>
      </w:pPr>
      <w:r>
        <w:t xml:space="preserve">Source file(s): results/tables/module_size_robustness.tsv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3.484e-32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1.259e-183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6.858e-206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8.536e-38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7.168e-173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7.191e-26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9.025e-24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1.456e-32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1.015e-188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3.215e-218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5.588e-39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4.384e-178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2.111e-22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2.560e-10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1.317e-177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1.162e-202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2.312e-45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4.773e-167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8.346e-20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5.161e-29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6.803e-177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3.456e-197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9.141e-46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3.493e-165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1.328e-20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1.391e-34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2026-06-17T10:35:42Z</dcterms:modified>
  <cp:category/>
</cp:coreProperties>
</file>