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S8. HBV_INJURY top-N and CIBERSORTx-adjusted regression</w:t>
      </w:r>
    </w:p>
    <w:p>
      <w:pPr>
        <w:pStyle w:val="Normal"/>
      </w:pPr>
      <w:r>
        <w:t xml:space="preserve">Nested regression estimates for HBV_INJURY gene-set definitions in GSE121248 before and after proliferation and CIBERSORTx-inferred immune-composition adjustment.</w:t>
      </w:r>
    </w:p>
    <w:p>
      <w:pPr>
        <w:pStyle w:val="Normal"/>
      </w:pPr>
      <w:r>
        <w:t xml:space="preserve">Source file(s): results/tables/gse121248_hbv_injury_topN_extended_manuscript_summary.tsv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analysis 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injury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input genes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overlap genes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 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percent retained vs unadjusted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 high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127.5511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200.8945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178.1999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95.6884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156.6777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0.4420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153.2466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70.4364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108.9615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106.5652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80.2346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79.3723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0.3380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1.420e-06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45.0810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0.2357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58.1147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56.3876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0.2494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5.923e-09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53.6879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0.2094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63.3795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4.995e-04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0.2289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57.3170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5.182e-04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0.2071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2026-06-17T10:35:49Z</dcterms:modified>
  <cp:category/>
</cp:coreProperties>
</file>