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S10. TCGA-LIHC Cox model full output</w:t>
      </w:r>
    </w:p>
    <w:p>
      <w:pPr>
        <w:pStyle w:val="Normal"/>
      </w:pPr>
      <w:r>
        <w:t xml:space="preserve">Full Cox proportional-hazards model output for TCGA-LIHC module scores, including score-only, age/sex-adjusted, and age/sex/stage-adjusted models.</w:t>
      </w:r>
    </w:p>
    <w:p>
      <w:pPr>
        <w:pStyle w:val="Normal"/>
      </w:pPr>
      <w:r>
        <w:t xml:space="preserve">Source file(s): results/tables/tcga_lihc_survival_cox_models.tsv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formula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std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conf 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conf high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score_only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scale(ProlifHubScore)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3.9309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8.462e-05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1.7259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score_only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scale(HepLossScore)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1.0446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score_only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scale(HCCStateScore)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5.068e-04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1.7451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scale(ProlifHubScore)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3.506e-05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1.7912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1.0305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1.3126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scale(HepLossScore)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1.0487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1.0231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1.1735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scale(HCCStateScore)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3.923e-04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1.7766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1.0265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1.2289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scale(ProlifHubScore)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1.8339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1.0196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2.1297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12.4660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scale(HepLossScore)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1.1772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1.0127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1.8689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9.0185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scale(HCCStateScore)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2.0251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3.3633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1.9675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11.2594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ricardo</cp:lastModifiedBy>
  <cp:revision>9</cp:revision>
  <dcterms:created xsi:type="dcterms:W3CDTF">2017-02-28T11:18:00Z</dcterms:created>
  <dcterms:modified xsi:type="dcterms:W3CDTF">2026-06-23T11:53:15Z</dcterms:modified>
  <cp:category/>
</cp:coreProperties>
</file>