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S2. Complete Hallmark GSVA differential activity in discovery cohorts</w:t>
      </w:r>
    </w:p>
    <w:p>
      <w:pPr>
        <w:pStyle w:val="Normal"/>
      </w:pPr>
      <w:r>
        <w:t xml:space="preserve">Full Hallmark pathway-level tumor versus adjacent/non-tumor differential activity results for the HBV-HCC and HCV-HCC discovery cohorts.</w:t>
      </w:r>
    </w:p>
    <w:p>
      <w:pPr>
        <w:pStyle w:val="Normal"/>
      </w:pPr>
      <w:r>
        <w:t xml:space="preserve">Source file(s): results/tables/discovery_hallmark_combined.tsv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 gene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-2.6609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3.738e-06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9.837e-06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0.2030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-5.2739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6.413e-07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2.138e-06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HALLMARK_CHOLESTEROL_HOMEOSTASIS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4.315e-08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1.961e-07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3.504e-14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10.4878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1.988e-18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9.940e-17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0.3144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9.270e-04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HALLMARK_FATTY_ACID_METABOLISM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-4.9240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8.017e-06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2.069e-16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5.172e-15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8.324e-04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HALLMARK_HYPOXIA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-3.8289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HALLMARK_IL2_STAT5_SIGNALING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5.538e-04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6.203e-07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1.083e-06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3.186e-06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1.047e-10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1.616e-05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5.717e-15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7.147e-14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4.153e-09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2.304e-08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2.420e-07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HALLMARK_NOTCH_SIGNALING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0.6798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1.633e-07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6.203e-07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4.608e-09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2.304e-08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-5.2169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8.226e-07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HALLMARK_UNFOLDED_PROTEIN_RESPONSE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4.046e-11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2.529e-10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2.382e-12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HALLMARK_XENOBIOTIC_METABOLISM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-7.6343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6.274e-11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HALLMARK_CHOLESTEROL_HOMEOSTASIS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-4.6653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HALLMARK_FATTY_ACID_METABOLISM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9.508e-05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7.924e-04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HALLMARK_HYPOXIA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HALLMARK_IL2_STAT5_SIGNALING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8.868e-05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HALLMARK_NOTCH_SIGNALING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0.2048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HALLMARK_UNFOLDED_PROTEIN_RESPONSE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0.1285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HALLMARK_XENOBIOTIC_METABOLISM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-5.4848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1.646e-06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8.230e-05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2026-06-23T11:52:58Z</dcterms:modified>
  <cp:category/>
</cp:coreProperties>
</file>