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S3. Full gene-level meta-analysis with heterogeneity statistics</w:t>
      </w:r>
    </w:p>
    <w:p>
      <w:pPr>
        <w:pStyle w:val="Normal"/>
      </w:pPr>
      <w:r>
        <w:t xml:space="preserve">Complete gene-level fixed-effect meta-analysis and random-effects heterogeneity output across GSE121248 and GSE41804. The Word file contains a preview because the full table is large; the complete table is provided as TSV.</w:t>
      </w:r>
    </w:p>
    <w:p>
      <w:pPr>
        <w:pStyle w:val="Normal"/>
      </w:pPr>
      <w:r>
        <w:t xml:space="preserve">Source file(s):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se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z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concordant 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 sum abs 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-1.3617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6.369e-09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4.544e-08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69.0852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-1.1271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5.512e-05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2.170e-04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6145.0000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9.600e-07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4673.0000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-8.8955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5.817e-19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2.335e-17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1255.0000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81.8959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9.555e-05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8949.0000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4.462e-04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5.685e-06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2.218e+04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-9.7100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2.664e-14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AAED1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6.783e-07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5.109e-05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7822.0000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84.2099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85.4132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-7.947e-04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AANAT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2.295e-09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AASDHPPT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3.656e-18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1.792e-16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6.143e-12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6069.0000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5.641e-05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8991.0000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3.852e-05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1.338e-04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8.474e-04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ABCA17P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5.694e-05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4.057e+04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39.9448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-5.7352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6.730e-08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7319.0000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6.437e-06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5.396e-05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3.122e+04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6.379e-07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3.174e-06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8523.0000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3.372e+04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3.060e-13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1.537e-08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2793.0000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ABCC6P1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8.458e-06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6.698e-04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4.401e-09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6966.0000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2429.0000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51.8873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1.418e+04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-1.9755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1.913e+04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2026-06-23T11:53:04Z</dcterms:modified>
  <cp:category/>
</cp:coreProperties>
</file>