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S7. HBV_INJURY derivation from GSE83148</w:t>
      </w:r>
    </w:p>
    <w:p>
      <w:pPr>
        <w:pStyle w:val="Normal"/>
      </w:pPr>
      <w:r>
        <w:t xml:space="preserve">Gene-level association with the continuous ALT/AST/HBV-DNA-derived HBV_INJURY_INDEX in GSE83148, including ranked top-N membership indicators where available. The Word file contains a preview; the complete table is provided as TSV.</w:t>
      </w:r>
    </w:p>
    <w:p>
      <w:pPr>
        <w:pStyle w:val="Normal"/>
      </w:pPr>
      <w:r>
        <w:t xml:space="preserve">Source file(s): results/tables/GSE83148_HBV_INJURY_derivation_full.tsv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injury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AveExpr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 P 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 injury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EXTENDED 7792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PTAFR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27.7098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PNMA2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LPXN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RTN1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23.8100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CDC25B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MAML2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KLHL6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MTHFD2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21.6422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SAMD9L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20.9069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MAB21L2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DOCK11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C5AR1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TCIRG1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20.4070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STX7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EMILIN2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CD300LF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RGS1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LAIR1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LAMP3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11.6824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HOXB2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FABP5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SLC6A6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SH2D2A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ZNF738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PCED1B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PARVG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SLAMF7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OSBPL3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ARHGAP18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RAP2B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ENTPD1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PLXNC1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MYO5A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CRLF3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STK17B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BCAT1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RAD51AP1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MCUB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C15ORF48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BTN2A2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2026-06-23T11:53:12Z</dcterms:modified>
  <cp:category/>
</cp:coreProperties>
</file>