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S9. CIBERSORTx inferred immune-fraction summaries</w:t>
      </w:r>
    </w:p>
    <w:p>
      <w:pPr>
        <w:pStyle w:val="Normal"/>
      </w:pPr>
      <w:r>
        <w:t xml:space="preserve">Summary statistics for CIBERSORTx-inferred immune-cell fractions by tissue class in GSE121248.</w:t>
      </w:r>
    </w:p>
    <w:p>
      <w:pPr>
        <w:pStyle w:val="Normal"/>
      </w:pPr>
      <w:r>
        <w:t xml:space="preserve">Source file(s): results/tables/gse121248_cibersortx_cell_fraction_summary.tsv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tissue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cell fraction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sd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 cells memory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 cells naive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Dendritic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Dendritic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Eosinophils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8.825e-04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Mast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Mast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Monocytes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NK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NK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Neutrophils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Plasma 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memory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memory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naive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follicular helper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gamma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regulatory (Tregs)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 cells memory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3.486e-04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 cells naive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Dendritic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Dendritic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Eosinophils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4.197e-04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Mast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Mast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Monocytes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NK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NK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Neutrophils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Plasma 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memory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2.872e-05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2.403e-04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memory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naive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4.040e-04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follicular helper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gamma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0.0046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regulatory (Tregs)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0.0302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2026-06-23T11:53:14Z</dcterms:modified>
  <cp:category/>
</cp:coreProperties>
</file>