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Definição de Arquitetura: Sistema CEPAC OUCAE</w:t>
      </w:r>
    </w:p>
    <w:p>
      <w:pPr>
        <w:pStyle w:val="Heading1"/>
        <w:rPr/>
      </w:pPr>
      <w:r>
        <w:rPr/>
        <w:t>1. Debate Técnico: Priorização de Contêineres</w:t>
      </w:r>
    </w:p>
    <w:p>
      <w:pPr>
        <w:pStyle w:val="Normal"/>
        <w:rPr/>
      </w:pPr>
      <w:r>
        <w:rPr>
          <w:b/>
        </w:rPr>
        <w:t xml:space="preserve">Gerente de Projetos (PM): </w:t>
      </w:r>
      <w:r>
        <w:rPr/>
        <w:t>A escolha por contêineres é estratégica. Precisamos de uma infraestrutura que escale horizontalmente de forma automática para suportar os picos de acesso no Portal do Munícipe.</w:t>
      </w:r>
    </w:p>
    <w:p>
      <w:pPr>
        <w:pStyle w:val="Normal"/>
        <w:rPr/>
      </w:pPr>
      <w:r>
        <w:rPr>
          <w:b/>
        </w:rPr>
        <w:t xml:space="preserve">Tech Lead: </w:t>
      </w:r>
      <w:r>
        <w:rPr/>
        <w:t>Exatamente. Vamos decompor os módulos em microserviços no Azure Kubernetes Service (AKS). Isso isola falhas e permite que o Core Engine escale independentemente do serviço de relatórios.</w:t>
      </w:r>
    </w:p>
    <w:p>
      <w:pPr>
        <w:pStyle w:val="Normal"/>
        <w:rPr/>
      </w:pPr>
      <w:r>
        <w:rPr>
          <w:b/>
        </w:rPr>
        <w:t xml:space="preserve">Especialista de Negócios: </w:t>
      </w:r>
      <w:r>
        <w:rPr/>
        <w:t>Essa arquitetura garante a conformidade com a CVM, pois podemos processar auditorias pesadas sem impactar a experiência do munícipe no portal.</w:t>
      </w:r>
    </w:p>
    <w:p>
      <w:pPr>
        <w:pStyle w:val="Heading1"/>
        <w:rPr/>
      </w:pPr>
      <w:r>
        <w:rPr/>
        <w:t>2. Componentes de Arquitetura (Azure Cloud)</w:t>
      </w:r>
    </w:p>
    <w:p>
      <w:pPr>
        <w:pStyle w:val="Heading2"/>
        <w:rPr/>
      </w:pPr>
      <w:r>
        <w:rPr/>
        <w:t>Orquestração de Microserviços (AKS / Container Apps)</w:t>
      </w:r>
    </w:p>
    <w:p>
      <w:pPr>
        <w:pStyle w:val="Normal"/>
        <w:rPr/>
      </w:pPr>
      <w:r>
        <w:rPr/>
        <w:t>Hospedagem dos contêineres de Identidade, Core Engine (Regras de Estoque) e Serviço de Assinatura Digital.</w:t>
      </w:r>
    </w:p>
    <w:p>
      <w:pPr>
        <w:pStyle w:val="Heading2"/>
        <w:rPr/>
      </w:pPr>
      <w:r>
        <w:rPr/>
        <w:t>Azure API Management (Gateway)</w:t>
      </w:r>
    </w:p>
    <w:p>
      <w:pPr>
        <w:pStyle w:val="Normal"/>
        <w:rPr/>
      </w:pPr>
      <w:r>
        <w:rPr/>
        <w:t>Camada de isolamento e segurança que protege o sistema interno da SP Urbanismo frente ao acesso externo.</w:t>
      </w:r>
    </w:p>
    <w:p>
      <w:pPr>
        <w:pStyle w:val="Heading2"/>
        <w:rPr/>
      </w:pPr>
      <w:r>
        <w:rPr/>
        <w:t>Azure Service Bus (Mensageria)</w:t>
      </w:r>
    </w:p>
    <w:p>
      <w:pPr>
        <w:pStyle w:val="Normal"/>
        <w:rPr/>
      </w:pPr>
      <w:r>
        <w:rPr/>
        <w:t>Gerenciamento de filas para garantir a ordem cronológica dos pedidos, respeitando a prioridade de consumo de estoque.</w:t>
      </w:r>
    </w:p>
    <w:p>
      <w:pPr>
        <w:pStyle w:val="Heading2"/>
        <w:rPr/>
      </w:pPr>
      <w:r>
        <w:rPr/>
        <w:t>Persistência e Armazenamento (SQL Azure &amp; Blob Storage)</w:t>
      </w:r>
    </w:p>
    <w:p>
      <w:pPr>
        <w:pStyle w:val="Normal"/>
        <w:rPr/>
      </w:pPr>
      <w:r>
        <w:rPr/>
        <w:t>Banco de dados relacional para estados transacionais e armazenamento imutável de documentos e certificados assinados.</w:t>
      </w:r>
    </w:p>
    <w:p>
      <w:pPr>
        <w:pStyle w:val="Heading1"/>
        <w:rPr/>
      </w:pPr>
      <w:r>
        <w:rPr/>
        <w:t>3. ANEXO: Regras de Fluxo e Governança Digital</w:t>
      </w:r>
    </w:p>
    <w:p>
      <w:pPr>
        <w:pStyle w:val="ListBullet"/>
        <w:numPr>
          <w:ilvl w:val="0"/>
          <w:numId w:val="1"/>
        </w:numPr>
        <w:rPr/>
      </w:pPr>
      <w:r>
        <w:rPr/>
        <w:t>Identidade: Autenticação obrigatória via SSO GOV.BR com suporte a níveis Prata e Ouro.</w:t>
      </w:r>
    </w:p>
    <w:p>
      <w:pPr>
        <w:pStyle w:val="ListBullet"/>
        <w:numPr>
          <w:ilvl w:val="0"/>
          <w:numId w:val="1"/>
        </w:numPr>
        <w:rPr/>
      </w:pPr>
      <w:r>
        <w:rPr/>
        <w:t>Bloqueio 'Em Análise': Reserva temporária de potencial por 48h durante o preenchimento para garantir integridade da fila.</w:t>
      </w:r>
    </w:p>
    <w:p>
      <w:pPr>
        <w:pStyle w:val="ListBullet"/>
        <w:numPr>
          <w:ilvl w:val="0"/>
          <w:numId w:val="1"/>
        </w:numPr>
        <w:rPr/>
      </w:pPr>
      <w:r>
        <w:rPr/>
        <w:t>Assinatura Qualificada: Exigência de assinatura digital GOV.BR para todas as transações de vinculação ou desvinculação.</w:t>
      </w:r>
    </w:p>
    <w:p>
      <w:pPr>
        <w:pStyle w:val="ListBullet"/>
        <w:numPr>
          <w:ilvl w:val="0"/>
          <w:numId w:val="1"/>
        </w:numPr>
        <w:rPr/>
      </w:pPr>
      <w:r>
        <w:rPr/>
        <w:t>Mapa de Disponibilidade: Exibição dinâmica de saldos R/NR no portal baseada no motor de regras setorial.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Rastreabilidade Administrativa: Geração automática de protocolo e vínculo com o Sistema SEI para todas as solicitações.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2</Pages>
  <Words>278</Words>
  <Characters>1658</Characters>
  <CharactersWithSpaces>1911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