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Cor de fundo diferente para mensagens recebidas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Uma coisa interessante para fazermos é diferenciar as mensagens que estão na lista, para sabermos se estamos enviando ou recebendo a mensagem. Podemos, por exemplo, colocar uma cor diferente na mensagem que recebemos, só para deixar mais claro.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isso, dentro da mensagem podemos carregar também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cliente. E se esse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for diferente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mensagem, significa que estamos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recebendo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 mensagem, então modificamos a cor de fundo da linha: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tv_texto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setBackgroundColor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CYAN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Tanto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quanto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mensagem não existem, então vamos criá-los. Primeiro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métodos comentados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juntamente com o seu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getter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último, falta o retorno, vamos retornar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linha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tv_texto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setBackgroundColor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CYAN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finalmente podemos testar!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im000xptcz2u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Testando o MensagemAdapter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testar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acabamos de fazer. Como temos acesso à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? Novamente podemos utilizar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para isso precisamos adicionar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dentro do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"@+id/lv_mensagem"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Voltando 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conseguimos acessar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listaDeMensagens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lv_mensagem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precisamos do conteúdo das mensagens que vamos enviar. Para isso vamos criar uma lista de mensagens, com o auxílio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Arrays.asList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listaDeMensagens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lv_mensagem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asList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"olá alunos de android"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"oi"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na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há esse construtor, vamos criá-lo: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classe 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texto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temos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o componente visual que irá exibir as nossas mensagens, e a lista de mensagens que serão enviadas, precisamos converter essa lista de mensagens em componentes que irão aparecer na tela, e quem faz isso para nós é justamente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listaDeMensagens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lv_mensagem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asList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"olá alunos de android"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"oi"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criar o atributo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inicializá-lo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assim poderemos ver as cores diferentes. Agora falta atribuir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fazemos isso através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mesma: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listaDeMensagens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lv_mensagem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asList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"olá alunos de android"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"oi"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podemos executar a aplicação, ver o aplicativo rodando e reparar nas cores diferentes, exatamente como esperávamos!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melhorar o layout, no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mensagem.xml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alterar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layout_height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50dp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vamos colocar um texto no botão, no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"1"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"Enviar"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isso o nosso projeto base está pronto! Agora podemos dar continuidade ao curso e aprender as tecnologias que aqui focaremos no restante dos capítulos.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