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</w:rPr>
        <w:t>ANEXO AL CONTRATO DE TRABAJO</w:t>
      </w:r>
    </w:p>
    <w:p>
      <w:pPr>
        <w:jc w:val="center"/>
      </w:pPr>
      <w:r>
        <w:rPr>
          <w:b/>
        </w:rPr>
        <w:t>Información sobre los elementos esenciales del contrato y las condiciones de prestación de servicios</w:t>
      </w:r>
    </w:p>
    <w:p>
      <w:pPr>
        <w:jc w:val="both"/>
      </w:pPr>
      <w:r>
        <w:t xml:space="preserve">De una parte, </w:t>
      </w:r>
      <w:r>
        <w:rPr>
          <w:b/>
          <w:shd w:val="solid" w:color="00FFFF" w:fill="FF0000"/>
        </w:rPr>
        <w:t>{{EMPRESA|denominación social de la empresa}}</w:t>
      </w:r>
      <w:r>
        <w:t xml:space="preserve">, con NIF </w:t>
      </w:r>
      <w:r>
        <w:rPr>
          <w:b/>
          <w:shd w:val="solid" w:color="00FFFF" w:fill="FF0000"/>
        </w:rPr>
        <w:t>{{CIF_EMPRESA|NIF de la empresa}}</w:t>
      </w:r>
      <w:r>
        <w:t xml:space="preserve"> y domicilio social en </w:t>
      </w:r>
      <w:r>
        <w:rPr>
          <w:b/>
          <w:shd w:val="solid" w:color="00FFFF" w:fill="FF0000"/>
        </w:rPr>
        <w:t>{{DOMICILIO_EMPRESA|domicilio social de la empresa}}</w:t>
      </w:r>
      <w:r>
        <w:t xml:space="preserve">, representada por </w:t>
      </w:r>
      <w:r>
        <w:rPr>
          <w:b/>
          <w:shd w:val="solid" w:color="00FFFF" w:fill="FF0000"/>
        </w:rPr>
        <w:t>{{REPRESENTANTE|nombre y cargo de quien firma por la empresa}}</w:t>
      </w:r>
      <w:r>
        <w:t>.</w:t>
      </w:r>
    </w:p>
    <w:p>
      <w:pPr>
        <w:jc w:val="both"/>
      </w:pPr>
      <w:r>
        <w:t xml:space="preserve">De otra, </w:t>
      </w:r>
      <w:r>
        <w:rPr>
          <w:b/>
          <w:shd w:val="solid" w:color="00FFFF" w:fill="FF0000"/>
        </w:rPr>
        <w:t>{{NOMBRE|nombre y apellidos de la persona trabajadora}}</w:t>
      </w:r>
      <w:r>
        <w:t xml:space="preserve">, con </w:t>
      </w:r>
      <w:r>
        <w:rPr>
          <w:b/>
          <w:shd w:val="solid" w:color="00FFFF" w:fill="FF0000"/>
        </w:rPr>
        <w:t>{{DOCUMENTO|documento identificativo (tipo y número)}}</w:t>
      </w:r>
      <w:r>
        <w:t>.</w:t>
      </w:r>
    </w:p>
    <w:p>
      <w:pPr>
        <w:spacing w:after="0"/>
      </w:pPr>
      <w:r>
        <w:rPr>
          <w:i/>
          <w:color w:val="808080"/>
          <w:sz w:val="16"/>
        </w:rPr>
        <w:t>{{#NO ES_CONVERSION|¿Es una conversión de contrato temporal en indefinido?}}</w:t>
      </w:r>
    </w:p>
    <w:p>
      <w:pPr>
        <w:jc w:val="both"/>
      </w:pPr>
      <w:r>
        <w:t xml:space="preserve">Este documento completa el contrato de trabajo de fecha </w:t>
      </w:r>
      <w:r>
        <w:rPr>
          <w:b/>
          <w:shd w:val="solid" w:color="00FFFF" w:fill="FF0000"/>
        </w:rPr>
        <w:t>{{FECHA_CONTRATO|fecha del contrato}}</w:t>
      </w:r>
      <w:r>
        <w:t xml:space="preserve"> y facilita por escrito la información sobre los elementos esenciales de la relación laboral prevista en el artículo 8.5 del Estatuto de los Trabajadores y en el artículo 3 del Real Decreto 723/2026, de 9 de septiembre. Lo que ya figura en el contrato se mantiene en sus propios términos. En materia de salario y su pago, tiempo de trabajo, horas extraordinarias, vacaciones, período de prueba, formación y extinción, la información se facilita en parte por remisión a las disposiciones legales y al convenio colectivo citados, conforme al artículo 3.3 del citado real decreto.</w:t>
      </w:r>
    </w:p>
    <w:p>
      <w:pPr>
        <w:spacing w:after="0"/>
      </w:pPr>
      <w:r>
        <w:rPr>
          <w:i/>
          <w:color w:val="808080"/>
          <w:sz w:val="16"/>
        </w:rPr>
        <w:t>{{/SI}}</w:t>
      </w:r>
    </w:p>
    <w:p>
      <w:pPr>
        <w:spacing w:after="0"/>
      </w:pPr>
      <w:r>
        <w:rPr>
          <w:i/>
          <w:color w:val="808080"/>
          <w:sz w:val="16"/>
        </w:rPr>
        <w:t>{{#SI ES_CONVERSION|¿Es una conversión de contrato temporal en indefinido?}}</w:t>
      </w:r>
    </w:p>
    <w:p>
      <w:pPr>
        <w:jc w:val="both"/>
      </w:pPr>
      <w:r>
        <w:t xml:space="preserve">Las partes han acordado la conversión en indefinido, con efectos de </w:t>
      </w:r>
      <w:r>
        <w:rPr>
          <w:b/>
          <w:shd w:val="solid" w:color="00FFFF" w:fill="FF0000"/>
        </w:rPr>
        <w:t>{{FECHA_CONVERSION|fecha de efectos de la conversión}}</w:t>
      </w:r>
      <w:r>
        <w:t xml:space="preserve">, del contrato temporal celebrado el </w:t>
      </w:r>
      <w:r>
        <w:rPr>
          <w:b/>
          <w:shd w:val="solid" w:color="00FFFF" w:fill="FF0000"/>
        </w:rPr>
        <w:t>{{FECHA_CONTRATO_ORIGEN|fecha del contrato temporal de origen}}</w:t>
      </w:r>
      <w:r>
        <w:t>. Este documento informa por escrito de esa modificación y de los elementos esenciales de la relación laboral, conforme a los artículos 3, 5 y 7.3 del Real Decreto 723/2026, de 9 de septiembre. En materia de salario y su pago, tiempo de trabajo, horas extraordinarias, vacaciones, período de prueba, formación y extinción, la información se facilita en parte por remisión a las disposiciones legales y al convenio colectivo citados, conforme al artículo 3.3 del citado real decreto.</w:t>
      </w:r>
    </w:p>
    <w:p>
      <w:pPr>
        <w:spacing w:after="0"/>
      </w:pPr>
      <w:r>
        <w:rPr>
          <w:i/>
          <w:color w:val="808080"/>
          <w:sz w:val="16"/>
        </w:rPr>
        <w:t>{{/SI}}</w:t>
      </w:r>
    </w:p>
    <w:p>
      <w:pPr>
        <w:keepNext/>
      </w:pPr>
      <w:r>
        <w:rPr>
          <w:b/>
          <w:color w:val="0066CC"/>
        </w:rPr>
        <w:t>Convenio colectivo aplicable</w:t>
      </w:r>
    </w:p>
    <w:p>
      <w:pPr>
        <w:spacing w:after="0"/>
      </w:pPr>
      <w:r>
        <w:rPr>
          <w:i/>
          <w:color w:val="808080"/>
          <w:sz w:val="16"/>
        </w:rPr>
        <w:t>{{#SI HAY_CONVENIO|¿Hay convenio colectivo aplicable?}}</w:t>
      </w:r>
    </w:p>
    <w:p>
      <w:pPr>
        <w:jc w:val="both"/>
      </w:pPr>
      <w:r>
        <w:t xml:space="preserve">Es de aplicación el </w:t>
      </w:r>
      <w:r>
        <w:rPr>
          <w:b/>
          <w:shd w:val="solid" w:color="00FFFF" w:fill="FF0000"/>
        </w:rPr>
        <w:t>{{CONV_NOMBRE|nombre completo del convenio}}</w:t>
      </w:r>
      <w:r>
        <w:t xml:space="preserve">, código </w:t>
      </w:r>
      <w:r>
        <w:rPr>
          <w:b/>
          <w:shd w:val="solid" w:color="00FFFF" w:fill="FF0000"/>
        </w:rPr>
        <w:t>{{CONV_CODIGO|código del convenio}}</w:t>
      </w:r>
      <w:r>
        <w:t xml:space="preserve">, publicado en </w:t>
      </w:r>
      <w:r>
        <w:rPr>
          <w:b/>
          <w:shd w:val="solid" w:color="00FFFF" w:fill="FF0000"/>
        </w:rPr>
        <w:t>{{CONV_PUBLICACION|boletín y fecha de publicación}}</w:t>
      </w:r>
      <w:r>
        <w:t xml:space="preserve">. Vigencia: </w:t>
      </w:r>
      <w:r>
        <w:rPr>
          <w:b/>
          <w:shd w:val="solid" w:color="00FFFF" w:fill="FF0000"/>
        </w:rPr>
        <w:t>{{CONV_VIGENCIA|período de vigencia y, en su caso, ultraactividad}}</w:t>
      </w:r>
      <w:r>
        <w:t>.</w:t>
      </w:r>
    </w:p>
    <w:p>
      <w:pPr>
        <w:spacing w:after="0"/>
      </w:pPr>
      <w:r>
        <w:rPr>
          <w:i/>
          <w:color w:val="808080"/>
          <w:sz w:val="16"/>
        </w:rPr>
        <w:t>{{#SI HAY_OTRO_CONVENIO|¿Se aplica además otro convenio colectivo (de empresa, de sector…)?}}</w:t>
      </w:r>
    </w:p>
    <w:p>
      <w:pPr>
        <w:jc w:val="both"/>
      </w:pPr>
      <w:r>
        <w:t xml:space="preserve">Es también de aplicación el siguiente convenio colectivo, con su código, publicación, vigencia y, en su caso, situación de ultraactividad: </w:t>
      </w:r>
      <w:r>
        <w:rPr>
          <w:b/>
          <w:shd w:val="solid" w:color="00FFFF" w:fill="FF0000"/>
        </w:rPr>
        <w:t>{{OTRO_CONVENIO|nombre, código, boletín y fecha de publicación, vigencia}}</w:t>
      </w:r>
      <w:r>
        <w:t>.</w:t>
      </w:r>
    </w:p>
    <w:p>
      <w:pPr>
        <w:spacing w:after="0"/>
      </w:pPr>
      <w:r>
        <w:rPr>
          <w:i/>
          <w:color w:val="808080"/>
          <w:sz w:val="16"/>
        </w:rPr>
        <w:t>{{/SI}}</w:t>
      </w:r>
    </w:p>
    <w:p>
      <w:pPr>
        <w:spacing w:after="0"/>
      </w:pPr>
      <w:r>
        <w:rPr>
          <w:i/>
          <w:color w:val="808080"/>
          <w:sz w:val="16"/>
        </w:rPr>
        <w:t>{{/SI}}</w:t>
      </w:r>
    </w:p>
    <w:p>
      <w:pPr>
        <w:spacing w:after="0"/>
      </w:pPr>
      <w:r>
        <w:rPr>
          <w:i/>
          <w:color w:val="808080"/>
          <w:sz w:val="16"/>
        </w:rPr>
        <w:t>{{#NO HAY_CONVENIO|¿Hay convenio colectivo aplicable?}}</w:t>
      </w:r>
    </w:p>
    <w:p>
      <w:pPr>
        <w:jc w:val="both"/>
      </w:pPr>
      <w:r>
        <w:t>No resulta de aplicación ningún convenio colectivo. La relación laboral se rige por el Estatuto de los Trabajadores y demás disposiciones legales y reglamentarias, a las que se refieren las remisiones de este documento.</w:t>
      </w:r>
    </w:p>
    <w:p>
      <w:pPr>
        <w:spacing w:after="0"/>
      </w:pPr>
      <w:r>
        <w:rPr>
          <w:i/>
          <w:color w:val="808080"/>
          <w:sz w:val="16"/>
        </w:rPr>
        <w:t>{{/SI}}</w:t>
      </w:r>
    </w:p>
    <w:p>
      <w:pPr>
        <w:keepNext/>
      </w:pPr>
      <w:r>
        <w:rPr>
          <w:b/>
          <w:color w:val="0066CC"/>
        </w:rPr>
        <w:t>Inicio y duración</w:t>
      </w:r>
    </w:p>
    <w:p>
      <w:pPr>
        <w:spacing w:after="0"/>
      </w:pPr>
      <w:r>
        <w:rPr>
          <w:i/>
          <w:color w:val="808080"/>
          <w:sz w:val="16"/>
        </w:rPr>
        <w:t>{{#NO ES_CONVERSION|¿Es una conversión de contrato temporal en indefinido?}}</w:t>
      </w:r>
    </w:p>
    <w:p>
      <w:pPr>
        <w:jc w:val="both"/>
      </w:pPr>
      <w:r>
        <w:t xml:space="preserve">La relación laboral se inició el </w:t>
      </w:r>
      <w:r>
        <w:rPr>
          <w:b/>
          <w:shd w:val="solid" w:color="00FFFF" w:fill="FF0000"/>
        </w:rPr>
        <w:t>{{FECHA_INICIO|fecha de inicio de la relación}}</w:t>
      </w:r>
      <w:r>
        <w:t xml:space="preserve"> mediante </w:t>
      </w:r>
      <w:r>
        <w:rPr>
          <w:b/>
          <w:shd w:val="solid" w:color="00FFFF" w:fill="FF0000"/>
        </w:rPr>
        <w:t>{{MODALIDAD|modalidad contractual}}</w:t>
      </w:r>
      <w:r>
        <w:t xml:space="preserve">, de duración </w:t>
      </w:r>
      <w:r>
        <w:rPr>
          <w:b/>
          <w:shd w:val="solid" w:color="00FFFF" w:fill="FF0000"/>
        </w:rPr>
        <w:t>{{DURACION|indefinida o determinada}}</w:t>
      </w:r>
      <w:r>
        <w:t>.</w:t>
      </w:r>
    </w:p>
    <w:p>
      <w:pPr>
        <w:spacing w:after="0"/>
      </w:pPr>
      <w:r>
        <w:rPr>
          <w:i/>
          <w:color w:val="808080"/>
          <w:sz w:val="16"/>
        </w:rPr>
        <w:t>{{/SI}}</w:t>
      </w:r>
    </w:p>
    <w:p>
      <w:pPr>
        <w:spacing w:after="0"/>
      </w:pPr>
      <w:r>
        <w:rPr>
          <w:i/>
          <w:color w:val="808080"/>
          <w:sz w:val="16"/>
        </w:rPr>
        <w:t>{{#SI ES_CONVERSION|¿Es una conversión de contrato temporal en indefinido?}}</w:t>
      </w:r>
    </w:p>
    <w:p>
      <w:pPr>
        <w:jc w:val="both"/>
      </w:pPr>
      <w:r>
        <w:t xml:space="preserve">La relación laboral se inició el </w:t>
      </w:r>
      <w:r>
        <w:rPr>
          <w:b/>
          <w:shd w:val="solid" w:color="00FFFF" w:fill="FF0000"/>
        </w:rPr>
        <w:t>{{FECHA_CONTRATO_ORIGEN|fecha del contrato temporal de origen}}</w:t>
      </w:r>
      <w:r>
        <w:t xml:space="preserve"> y, desde el </w:t>
      </w:r>
      <w:r>
        <w:rPr>
          <w:b/>
          <w:shd w:val="solid" w:color="00FFFF" w:fill="FF0000"/>
        </w:rPr>
        <w:t>{{FECHA_CONVERSION|fecha de efectos de la conversión}}</w:t>
      </w:r>
      <w:r>
        <w:t>, es de duración indefinida.</w:t>
      </w:r>
    </w:p>
    <w:p>
      <w:pPr>
        <w:spacing w:after="0"/>
      </w:pPr>
      <w:r>
        <w:rPr>
          <w:i/>
          <w:color w:val="808080"/>
          <w:sz w:val="16"/>
        </w:rPr>
        <w:t>{{/SI}}</w:t>
      </w:r>
    </w:p>
    <w:p>
      <w:pPr>
        <w:spacing w:after="0"/>
      </w:pPr>
      <w:r>
        <w:rPr>
          <w:i/>
          <w:color w:val="808080"/>
          <w:sz w:val="16"/>
        </w:rPr>
        <w:t>{{#SI ES_TEMPORAL|¿Es un contrato temporal?}}</w:t>
      </w:r>
    </w:p>
    <w:p>
      <w:pPr>
        <w:jc w:val="both"/>
      </w:pPr>
      <w:r>
        <w:t xml:space="preserve">Fecha de finalización o duración previsible: </w:t>
      </w:r>
      <w:r>
        <w:rPr>
          <w:b/>
          <w:shd w:val="solid" w:color="00FFFF" w:fill="FF0000"/>
        </w:rPr>
        <w:t>{{FECHA_FIN|fecha de finalización o duración previsible}}</w:t>
      </w:r>
      <w:r>
        <w:t xml:space="preserve">. Causa que habilita la contratación temporal: </w:t>
      </w:r>
      <w:r>
        <w:rPr>
          <w:b/>
          <w:shd w:val="solid" w:color="00FFFF" w:fill="FF0000"/>
        </w:rPr>
        <w:t>{{CAUSA_TEMPORAL|causa legal habilitante (art. 15 ET)}}</w:t>
      </w:r>
      <w:r>
        <w:t xml:space="preserve">. Circunstancias concretas que la justifican: </w:t>
      </w:r>
      <w:r>
        <w:rPr>
          <w:b/>
          <w:shd w:val="solid" w:color="00FFFF" w:fill="FF0000"/>
        </w:rPr>
        <w:t>{{CIRCUNSTANCIAS_TEMPORAL|circunstancias concretas que la justifican}}</w:t>
      </w:r>
      <w:r>
        <w:t xml:space="preserve">. Conexión con la duración prevista: </w:t>
      </w:r>
      <w:r>
        <w:rPr>
          <w:b/>
          <w:shd w:val="solid" w:color="00FFFF" w:fill="FF0000"/>
        </w:rPr>
        <w:t>{{EXPLICACION_DURACION|por qué la duración se ajusta a la causa}}</w:t>
      </w:r>
      <w:r>
        <w:t>.</w:t>
      </w:r>
    </w:p>
    <w:p>
      <w:pPr>
        <w:spacing w:after="0"/>
      </w:pPr>
      <w:r>
        <w:rPr>
          <w:i/>
          <w:color w:val="808080"/>
          <w:sz w:val="16"/>
        </w:rPr>
        <w:t>{{/SI}}</w:t>
      </w:r>
    </w:p>
    <w:p>
      <w:pPr>
        <w:spacing w:after="0"/>
      </w:pPr>
      <w:r>
        <w:rPr>
          <w:i/>
          <w:color w:val="808080"/>
          <w:sz w:val="16"/>
        </w:rPr>
        <w:t>{{#SI ES_FIJO_DISCONTINUO|¿Es un contrato fijo-discontinuo?}}</w:t>
      </w:r>
    </w:p>
    <w:p>
      <w:pPr>
        <w:jc w:val="both"/>
      </w:pPr>
      <w:r>
        <w:t xml:space="preserve">Períodos de actividad e inactividad o su estimación: </w:t>
      </w:r>
      <w:r>
        <w:rPr>
          <w:b/>
          <w:shd w:val="solid" w:color="00FFFF" w:fill="FF0000"/>
        </w:rPr>
        <w:t>{{PERIODOS_FIJO_DISCONTINUO|períodos estimados de actividad e inactividad}}</w:t>
      </w:r>
      <w:r>
        <w:t>, sin perjuicio de su concreción en el momento del llamamiento, que se efectuará conforme al artículo 16 del Estatuto de los Trabajadores y, en su caso, al convenio colectivo.</w:t>
      </w:r>
    </w:p>
    <w:p>
      <w:pPr>
        <w:spacing w:after="0"/>
      </w:pPr>
      <w:r>
        <w:rPr>
          <w:i/>
          <w:color w:val="808080"/>
          <w:sz w:val="16"/>
        </w:rPr>
        <w:t>{{/SI}}</w:t>
      </w:r>
    </w:p>
    <w:p>
      <w:pPr>
        <w:keepNext/>
      </w:pPr>
      <w:r>
        <w:rPr>
          <w:b/>
          <w:color w:val="0066CC"/>
        </w:rPr>
        <w:t>Lugar de trabajo</w:t>
      </w:r>
    </w:p>
    <w:p>
      <w:pPr>
        <w:jc w:val="both"/>
      </w:pPr>
      <w:r>
        <w:t xml:space="preserve">Centro de trabajo habitual: </w:t>
      </w:r>
      <w:r>
        <w:rPr>
          <w:b/>
          <w:shd w:val="solid" w:color="00FFFF" w:fill="FF0000"/>
        </w:rPr>
        <w:t>{{CENTRO_TRABAJO|dirección del centro de trabajo habitual}}</w:t>
      </w:r>
      <w:r>
        <w:t>.</w:t>
      </w:r>
    </w:p>
    <w:p>
      <w:pPr>
        <w:spacing w:after="0"/>
      </w:pPr>
      <w:r>
        <w:rPr>
          <w:i/>
          <w:color w:val="808080"/>
          <w:sz w:val="16"/>
        </w:rPr>
        <w:t>{{#SI HAY_TRABAJO_DISTANCIA|¿Hay trabajo a distancia?}}</w:t>
      </w:r>
    </w:p>
    <w:p>
      <w:pPr>
        <w:jc w:val="both"/>
      </w:pPr>
      <w:r>
        <w:t xml:space="preserve">Centro al que queda adscrita la persona trabajadora para el trabajo a distancia: </w:t>
      </w:r>
      <w:r>
        <w:rPr>
          <w:b/>
          <w:shd w:val="solid" w:color="00FFFF" w:fill="FF0000"/>
        </w:rPr>
        <w:t>{{CENTRO_ADSCRIPCION|centro de adscripción}}</w:t>
      </w:r>
      <w:r>
        <w:t>.</w:t>
      </w:r>
    </w:p>
    <w:p>
      <w:pPr>
        <w:spacing w:after="0"/>
      </w:pPr>
      <w:r>
        <w:rPr>
          <w:i/>
          <w:color w:val="808080"/>
          <w:sz w:val="16"/>
        </w:rPr>
        <w:t>{{/SI}}</w:t>
      </w:r>
    </w:p>
    <w:p>
      <w:pPr>
        <w:spacing w:after="0"/>
      </w:pPr>
      <w:r>
        <w:rPr>
          <w:i/>
          <w:color w:val="808080"/>
          <w:sz w:val="16"/>
        </w:rPr>
        <w:t>{{#SI HAY_VARIOS_CENTROS|¿Trabaja en varios centros, centros móviles o itinerantes, o elige libremente el lugar?}}</w:t>
      </w:r>
    </w:p>
    <w:p>
      <w:pPr>
        <w:jc w:val="both"/>
      </w:pPr>
      <w:r>
        <w:t xml:space="preserve">La prestación de servicios se realiza de forma habitual en las siguientes circunstancias: </w:t>
      </w:r>
      <w:r>
        <w:rPr>
          <w:b/>
          <w:shd w:val="solid" w:color="00FFFF" w:fill="FF0000"/>
        </w:rPr>
        <w:t>{{VARIOS_CENTROS|varios centros, móviles o itinerantes, o libre elección del lugar}}</w:t>
      </w:r>
      <w:r>
        <w:t>.</w:t>
      </w:r>
    </w:p>
    <w:p>
      <w:pPr>
        <w:spacing w:after="0"/>
      </w:pPr>
      <w:r>
        <w:rPr>
          <w:i/>
          <w:color w:val="808080"/>
          <w:sz w:val="16"/>
        </w:rPr>
        <w:t>{{/SI}}</w:t>
      </w:r>
    </w:p>
    <w:p>
      <w:pPr>
        <w:keepNext/>
      </w:pPr>
      <w:r>
        <w:rPr>
          <w:b/>
          <w:color w:val="0066CC"/>
        </w:rPr>
        <w:t>Puesto de trabajo y funciones</w:t>
      </w:r>
    </w:p>
    <w:p>
      <w:pPr>
        <w:jc w:val="both"/>
      </w:pPr>
      <w:r>
        <w:t xml:space="preserve">Grupo profesional </w:t>
      </w:r>
      <w:r>
        <w:rPr>
          <w:b/>
          <w:shd w:val="solid" w:color="00FFFF" w:fill="FF0000"/>
        </w:rPr>
        <w:t>{{GRUPO|grupo profesional}}</w:t>
      </w:r>
      <w:r>
        <w:t xml:space="preserve">; categoría o puesto: </w:t>
      </w:r>
      <w:r>
        <w:rPr>
          <w:b/>
          <w:shd w:val="solid" w:color="00FFFF" w:fill="FF0000"/>
        </w:rPr>
        <w:t>{{PUESTO|categoría o denominación del puesto}}</w:t>
      </w:r>
      <w:r>
        <w:t xml:space="preserve">, conforme a </w:t>
      </w:r>
      <w:r>
        <w:rPr>
          <w:b/>
          <w:shd w:val="solid" w:color="00FFFF" w:fill="FF0000"/>
        </w:rPr>
        <w:t>{{REF_CLASIFICACION|remisión al sistema de clasificación profesional}}</w:t>
      </w:r>
      <w:r>
        <w:t xml:space="preserve">. Contenido de la prestación y descripción resumida del puesto: </w:t>
      </w:r>
      <w:r>
        <w:rPr>
          <w:b/>
          <w:shd w:val="solid" w:color="00FFFF" w:fill="FF0000"/>
        </w:rPr>
        <w:t>{{FUNCIONES|tareas y funciones principales}}</w:t>
      </w:r>
      <w:r>
        <w:t>.</w:t>
      </w:r>
    </w:p>
    <w:p>
      <w:pPr>
        <w:keepNext/>
      </w:pPr>
      <w:r>
        <w:rPr>
          <w:b/>
          <w:color w:val="0066CC"/>
        </w:rPr>
        <w:t>Salario</w:t>
      </w:r>
    </w:p>
    <w:p>
      <w:pPr>
        <w:spacing w:after="0"/>
      </w:pPr>
      <w:r>
        <w:rPr>
          <w:i/>
          <w:color w:val="808080"/>
          <w:sz w:val="16"/>
        </w:rPr>
        <w:t>{{#SI HAY_CONVENIO|¿Hay convenio colectivo aplicable?}}</w:t>
      </w:r>
    </w:p>
    <w:p>
      <w:pPr>
        <w:jc w:val="both"/>
      </w:pPr>
      <w:r>
        <w:t xml:space="preserve">El salario base y los complementos salariales son los que corresponden a su grupo profesional en </w:t>
      </w:r>
      <w:r>
        <w:rPr>
          <w:b/>
          <w:shd w:val="solid" w:color="00FFFF" w:fill="FF0000"/>
        </w:rPr>
        <w:t>{{REF_SALARIO|remisión a las tablas salariales del convenio}}</w:t>
      </w:r>
      <w:r>
        <w:t xml:space="preserve">, en las cuantías vigentes en cada momento. Complementos salariales del convenio: </w:t>
      </w:r>
      <w:r>
        <w:rPr>
          <w:b/>
          <w:shd w:val="solid" w:color="00FFFF" w:fill="FF0000"/>
        </w:rPr>
        <w:t>{{REF_COMPLEMENTOS|complementos del convenio, criterios de percepción y artículos}}</w:t>
      </w:r>
      <w:r>
        <w:t xml:space="preserve">. Pagas extraordinarias: </w:t>
      </w:r>
      <w:r>
        <w:rPr>
          <w:b/>
          <w:shd w:val="solid" w:color="00FFFF" w:fill="FF0000"/>
        </w:rPr>
        <w:t>{{REF_PAGAS_EXTRA|pagas extraordinarias y artículos del convenio}}</w:t>
      </w:r>
      <w:r>
        <w:t xml:space="preserve">. Prorrateo de las pagas extraordinarias: </w:t>
      </w:r>
      <w:r>
        <w:rPr>
          <w:b/>
          <w:shd w:val="solid" w:color="00FFFF" w:fill="FF0000"/>
        </w:rPr>
        <w:t>{{PRORRATEO|«no se prorratean» o acuerdo de prorrateo}}</w:t>
      </w:r>
      <w:r>
        <w:t>.</w:t>
      </w:r>
    </w:p>
    <w:p>
      <w:pPr>
        <w:spacing w:after="0"/>
      </w:pPr>
      <w:r>
        <w:rPr>
          <w:i/>
          <w:color w:val="808080"/>
          <w:sz w:val="16"/>
        </w:rPr>
        <w:t>{{/SI}}</w:t>
      </w:r>
    </w:p>
    <w:p>
      <w:pPr>
        <w:spacing w:after="0"/>
      </w:pPr>
      <w:r>
        <w:rPr>
          <w:i/>
          <w:color w:val="808080"/>
          <w:sz w:val="16"/>
        </w:rPr>
        <w:t>{{#NO HAY_CONVENIO|¿Hay convenio colectivo aplicable?}}</w:t>
      </w:r>
    </w:p>
    <w:p>
      <w:pPr>
        <w:jc w:val="both"/>
      </w:pPr>
      <w:r>
        <w:t xml:space="preserve">Salario base: </w:t>
      </w:r>
      <w:r>
        <w:rPr>
          <w:b/>
          <w:shd w:val="solid" w:color="00FFFF" w:fill="FF0000"/>
        </w:rPr>
        <w:t>{{SALARIO_BASE|cuantía del salario base y unidad (mes, año...)}}</w:t>
      </w:r>
      <w:r>
        <w:t xml:space="preserve">. Pagas extraordinarias: dos al año, una con ocasión de las fiestas de Navidad y otra en </w:t>
      </w:r>
      <w:r>
        <w:rPr>
          <w:b/>
          <w:shd w:val="solid" w:color="00FFFF" w:fill="FF0000"/>
        </w:rPr>
        <w:t>{{MES_SEGUNDA_PAGA|mes de la segunda paga}}</w:t>
      </w:r>
      <w:r>
        <w:t xml:space="preserve">, de </w:t>
      </w:r>
      <w:r>
        <w:rPr>
          <w:b/>
          <w:shd w:val="solid" w:color="00FFFF" w:fill="FF0000"/>
        </w:rPr>
        <w:t>{{CUANTIA_PAGAS|cuantía de cada paga}}</w:t>
      </w:r>
      <w:r>
        <w:t xml:space="preserve"> cada una, que se abonan en sus fechas (artículo 31 del Estatuto de los Trabajadores).</w:t>
      </w:r>
    </w:p>
    <w:p>
      <w:pPr>
        <w:spacing w:after="0"/>
      </w:pPr>
      <w:r>
        <w:rPr>
          <w:i/>
          <w:color w:val="808080"/>
          <w:sz w:val="16"/>
        </w:rPr>
        <w:t>{{/SI}}</w:t>
      </w:r>
    </w:p>
    <w:p>
      <w:pPr>
        <w:jc w:val="both"/>
      </w:pPr>
      <w:r>
        <w:t xml:space="preserve">Otros complementos salariales, con su cuantía y condiciones de percepción: </w:t>
      </w:r>
      <w:r>
        <w:rPr>
          <w:b/>
          <w:shd w:val="solid" w:color="00FFFF" w:fill="FF0000"/>
        </w:rPr>
        <w:t>{{OTROS_COMPLEMENTOS|otros complementos o «ninguno»}}</w:t>
      </w:r>
      <w:r>
        <w:t xml:space="preserve">. Conceptos salariales variables, modo de cálculo y criterios de percepción: </w:t>
      </w:r>
      <w:r>
        <w:rPr>
          <w:b/>
          <w:shd w:val="solid" w:color="00FFFF" w:fill="FF0000"/>
        </w:rPr>
        <w:t>{{CONCEPTOS_VARIABLES|conceptos variables o «no existen»}}</w:t>
      </w:r>
      <w:r>
        <w:t xml:space="preserve">. Antigüedad reconocida desde el </w:t>
      </w:r>
      <w:r>
        <w:rPr>
          <w:b/>
          <w:shd w:val="solid" w:color="00FFFF" w:fill="FF0000"/>
        </w:rPr>
        <w:t>{{ANTIGUEDAD|fecha de antigüedad}}</w:t>
      </w:r>
      <w:r>
        <w:t xml:space="preserve">. Periodicidad y método de pago: </w:t>
      </w:r>
      <w:r>
        <w:rPr>
          <w:b/>
          <w:shd w:val="solid" w:color="00FFFF" w:fill="FF0000"/>
        </w:rPr>
        <w:t>{{FORMA_PAGO|periodicidad y método de pago (p. ej. mensual, por transferencia)}}</w:t>
      </w:r>
      <w:r>
        <w:t>.</w:t>
      </w:r>
    </w:p>
    <w:p>
      <w:pPr>
        <w:keepNext/>
      </w:pPr>
      <w:r>
        <w:rPr>
          <w:b/>
          <w:color w:val="0066CC"/>
        </w:rPr>
        <w:t>Tiempo de trabajo y vacaciones</w:t>
      </w:r>
    </w:p>
    <w:p>
      <w:pPr>
        <w:jc w:val="both"/>
      </w:pPr>
      <w:r>
        <w:t xml:space="preserve">Jornada: </w:t>
      </w:r>
      <w:r>
        <w:rPr>
          <w:b/>
          <w:shd w:val="solid" w:color="00FFFF" w:fill="FF0000"/>
        </w:rPr>
        <w:t>{{HORAS_SEMANALES|horas semanales}}</w:t>
      </w:r>
      <w:r>
        <w:t xml:space="preserve"> horas semanales, prestadas </w:t>
      </w:r>
      <w:r>
        <w:rPr>
          <w:b/>
          <w:shd w:val="solid" w:color="00FFFF" w:fill="FF0000"/>
        </w:rPr>
        <w:t>{{DIAS_PRESTACION|días de la semana}}</w:t>
      </w:r>
      <w:r>
        <w:t xml:space="preserve">, con el horario </w:t>
      </w:r>
      <w:r>
        <w:rPr>
          <w:b/>
          <w:shd w:val="solid" w:color="00FFFF" w:fill="FF0000"/>
        </w:rPr>
        <w:t>{{HORARIO|horario de trabajo, pausas y si es continuado o partido}}</w:t>
      </w:r>
      <w:r>
        <w:t xml:space="preserve">. Jornada anual: </w:t>
      </w:r>
      <w:r>
        <w:rPr>
          <w:b/>
          <w:shd w:val="solid" w:color="00FFFF" w:fill="FF0000"/>
        </w:rPr>
        <w:t>{{REF_JORNADA_ANUAL|jornada anual según convenio o ley}}</w:t>
      </w:r>
      <w:r>
        <w:t>, en proporción si la jornada es a tiempo parcial.</w:t>
      </w:r>
    </w:p>
    <w:p>
      <w:pPr>
        <w:spacing w:after="0"/>
      </w:pPr>
      <w:r>
        <w:rPr>
          <w:i/>
          <w:color w:val="808080"/>
          <w:sz w:val="16"/>
        </w:rPr>
        <w:t>{{#SI HAY_TURNOS_NOCTURNO|¿Hay trabajo nocturno o a turnos?}}</w:t>
      </w:r>
    </w:p>
    <w:p>
      <w:pPr>
        <w:jc w:val="both"/>
      </w:pPr>
      <w:r>
        <w:t xml:space="preserve">La totalidad o parte de la jornada se realiza mediante trabajo nocturno o a turnos: </w:t>
      </w:r>
      <w:r>
        <w:rPr>
          <w:b/>
          <w:shd w:val="solid" w:color="00FFFF" w:fill="FF0000"/>
        </w:rPr>
        <w:t>{{TURNOS|descripción del trabajo nocturno o a turnos}}</w:t>
      </w:r>
      <w:r>
        <w:t>.</w:t>
      </w:r>
    </w:p>
    <w:p>
      <w:pPr>
        <w:spacing w:after="0"/>
      </w:pPr>
      <w:r>
        <w:rPr>
          <w:i/>
          <w:color w:val="808080"/>
          <w:sz w:val="16"/>
        </w:rPr>
        <w:t>{{/SI}}</w:t>
      </w:r>
    </w:p>
    <w:p>
      <w:pPr>
        <w:spacing w:after="0"/>
      </w:pPr>
      <w:r>
        <w:rPr>
          <w:i/>
          <w:color w:val="808080"/>
          <w:sz w:val="16"/>
        </w:rPr>
        <w:t>{{#NO HAY_TURNOS_NOCTURNO|¿Hay trabajo nocturno o a turnos?}}</w:t>
      </w:r>
    </w:p>
    <w:p>
      <w:pPr>
        <w:jc w:val="both"/>
      </w:pPr>
      <w:r>
        <w:t>No se realiza trabajo nocturno ni a turnos.</w:t>
      </w:r>
    </w:p>
    <w:p>
      <w:pPr>
        <w:spacing w:after="0"/>
      </w:pPr>
      <w:r>
        <w:rPr>
          <w:i/>
          <w:color w:val="808080"/>
          <w:sz w:val="16"/>
        </w:rPr>
        <w:t>{{/SI}}</w:t>
      </w:r>
    </w:p>
    <w:p>
      <w:pPr>
        <w:spacing w:after="0"/>
      </w:pPr>
      <w:r>
        <w:rPr>
          <w:i/>
          <w:color w:val="808080"/>
          <w:sz w:val="16"/>
        </w:rPr>
        <w:t>{{#SI HAY_DISTRIBUCION_IRREGULAR|¿Se aplica distribución irregular de la jornada?}}</w:t>
      </w:r>
    </w:p>
    <w:p>
      <w:pPr>
        <w:jc w:val="both"/>
      </w:pPr>
      <w:r>
        <w:t xml:space="preserve">Distribución irregular de la jornada: sistema de fijación </w:t>
      </w:r>
      <w:r>
        <w:rPr>
          <w:b/>
          <w:shd w:val="solid" w:color="00FFFF" w:fill="FF0000"/>
        </w:rPr>
        <w:t>{{SISTEMA_IRREGULAR|sistema de fijación de la distribución irregular}}</w:t>
      </w:r>
      <w:r>
        <w:t xml:space="preserve">; horas y días de referencia en que puede exigirse la prestación de servicios: </w:t>
      </w:r>
      <w:r>
        <w:rPr>
          <w:b/>
          <w:shd w:val="solid" w:color="00FFFF" w:fill="FF0000"/>
        </w:rPr>
        <w:t>{{DIAS_FRANJAS|horas y días de referencia}}</w:t>
      </w:r>
      <w:r>
        <w:t xml:space="preserve">; preaviso mínimo antes del comienzo de la tarea: </w:t>
      </w:r>
      <w:r>
        <w:rPr>
          <w:b/>
          <w:shd w:val="solid" w:color="00FFFF" w:fill="FF0000"/>
        </w:rPr>
        <w:t>{{PREAVISO_INICIO|preaviso mínimo para iniciar}}</w:t>
      </w:r>
      <w:r>
        <w:t xml:space="preserve">; y antes de su cancelación: </w:t>
      </w:r>
      <w:r>
        <w:rPr>
          <w:b/>
          <w:shd w:val="solid" w:color="00FFFF" w:fill="FF0000"/>
        </w:rPr>
        <w:t>{{PREAVISO_CANCELACION|preaviso mínimo para cancelar}}</w:t>
      </w:r>
      <w:r>
        <w:t>.</w:t>
      </w:r>
    </w:p>
    <w:p>
      <w:pPr>
        <w:spacing w:after="0"/>
      </w:pPr>
      <w:r>
        <w:rPr>
          <w:i/>
          <w:color w:val="808080"/>
          <w:sz w:val="16"/>
        </w:rPr>
        <w:t>{{/SI}}</w:t>
      </w:r>
    </w:p>
    <w:p>
      <w:pPr>
        <w:jc w:val="both"/>
      </w:pPr>
      <w:r>
        <w:t xml:space="preserve">Supuestos y procedimientos para modificar la duración y distribución de la jornada y, en su caso, los turnos: </w:t>
      </w:r>
      <w:r>
        <w:rPr>
          <w:b/>
          <w:shd w:val="solid" w:color="00FFFF" w:fill="FF0000"/>
        </w:rPr>
        <w:t>{{REF_MOD_JORNADA|remisión: supuestos y procedimientos de modificación de jornada}}</w:t>
      </w:r>
      <w:r>
        <w:t xml:space="preserve">. Horas extraordinarias y su retribución: </w:t>
      </w:r>
      <w:r>
        <w:rPr>
          <w:b/>
          <w:shd w:val="solid" w:color="00FFFF" w:fill="FF0000"/>
        </w:rPr>
        <w:t>{{REF_HORAS_EXTRA|remisión: horas extraordinarias}}</w:t>
      </w:r>
      <w:r>
        <w:t xml:space="preserve">. Vacaciones y procedimiento para fijar su disfrute: </w:t>
      </w:r>
      <w:r>
        <w:rPr>
          <w:b/>
          <w:shd w:val="solid" w:color="00FFFF" w:fill="FF0000"/>
        </w:rPr>
        <w:t>{{REF_VACACIONES|remisión: duración y procedimiento de vacaciones}}</w:t>
      </w:r>
      <w:r>
        <w:t>.</w:t>
      </w:r>
    </w:p>
    <w:p>
      <w:pPr>
        <w:keepNext/>
      </w:pPr>
      <w:r>
        <w:rPr>
          <w:b/>
          <w:color w:val="0066CC"/>
        </w:rPr>
        <w:t>Período de prueba</w:t>
      </w:r>
    </w:p>
    <w:p>
      <w:pPr>
        <w:spacing w:after="0"/>
      </w:pPr>
      <w:r>
        <w:rPr>
          <w:i/>
          <w:color w:val="808080"/>
          <w:sz w:val="16"/>
        </w:rPr>
        <w:t>{{#SI HAY_PERIODO_PRUEBA|¿Se pacta período de prueba?}}</w:t>
      </w:r>
    </w:p>
    <w:p>
      <w:pPr>
        <w:jc w:val="both"/>
      </w:pPr>
      <w:r>
        <w:t xml:space="preserve">Se concierta un período de prueba de </w:t>
      </w:r>
      <w:r>
        <w:rPr>
          <w:b/>
          <w:shd w:val="solid" w:color="00FFFF" w:fill="FF0000"/>
        </w:rPr>
        <w:t>{{PERIODO_PRUEBA|duración del período de prueba}}</w:t>
      </w:r>
      <w:r>
        <w:t xml:space="preserve">, dentro de los límites de </w:t>
      </w:r>
      <w:r>
        <w:rPr>
          <w:b/>
          <w:shd w:val="solid" w:color="00FFFF" w:fill="FF0000"/>
        </w:rPr>
        <w:t>{{REF_PRUEBA|remisión: período de prueba}}</w:t>
      </w:r>
      <w:r>
        <w:t>. Durante el mismo, la empresa y la persona trabajadora están obligadas a realizar las experiencias que constituyan su objeto (artículo 14.1 del Estatuto de los Trabajadores).</w:t>
      </w:r>
    </w:p>
    <w:p>
      <w:pPr>
        <w:spacing w:after="0"/>
      </w:pPr>
      <w:r>
        <w:rPr>
          <w:i/>
          <w:color w:val="808080"/>
          <w:sz w:val="16"/>
        </w:rPr>
        <w:t>{{/SI}}</w:t>
      </w:r>
    </w:p>
    <w:p>
      <w:pPr>
        <w:spacing w:after="0"/>
      </w:pPr>
      <w:r>
        <w:rPr>
          <w:i/>
          <w:color w:val="808080"/>
          <w:sz w:val="16"/>
        </w:rPr>
        <w:t>{{#NO HAY_PERIODO_PRUEBA|¿Se pacta período de prueba?}}</w:t>
      </w:r>
    </w:p>
    <w:p>
      <w:pPr>
        <w:jc w:val="both"/>
      </w:pPr>
      <w:r>
        <w:t>No se concierta período de prueba.</w:t>
      </w:r>
    </w:p>
    <w:p>
      <w:pPr>
        <w:spacing w:after="0"/>
      </w:pPr>
      <w:r>
        <w:rPr>
          <w:i/>
          <w:color w:val="808080"/>
          <w:sz w:val="16"/>
        </w:rPr>
        <w:t>{{/SI}}</w:t>
      </w:r>
    </w:p>
    <w:p>
      <w:pPr>
        <w:keepNext/>
      </w:pPr>
      <w:r>
        <w:rPr>
          <w:b/>
          <w:color w:val="0066CC"/>
        </w:rPr>
        <w:t>Formación</w:t>
      </w:r>
    </w:p>
    <w:p>
      <w:pPr>
        <w:jc w:val="both"/>
      </w:pPr>
      <w:r>
        <w:t xml:space="preserve">La persona trabajadora tiene derecho a la formación proporcionada por la empresa en los términos de </w:t>
      </w:r>
      <w:r>
        <w:rPr>
          <w:b/>
          <w:shd w:val="solid" w:color="00FFFF" w:fill="FF0000"/>
        </w:rPr>
        <w:t>{{REF_FORMACION|remisión: derecho a formación}}</w:t>
      </w:r>
      <w:r>
        <w:t>.</w:t>
      </w:r>
    </w:p>
    <w:p>
      <w:pPr>
        <w:spacing w:after="0"/>
      </w:pPr>
      <w:r>
        <w:rPr>
          <w:i/>
          <w:color w:val="808080"/>
          <w:sz w:val="16"/>
        </w:rPr>
        <w:t>{{#SI ES_ETT|¿La persona trabajadora es cedida por una empresa de trabajo temporal?}}</w:t>
      </w:r>
    </w:p>
    <w:p>
      <w:pPr>
        <w:keepNext/>
      </w:pPr>
      <w:r>
        <w:rPr>
          <w:b/>
          <w:color w:val="0066CC"/>
        </w:rPr>
        <w:t>Puesta a disposición por empresa de trabajo temporal</w:t>
      </w:r>
    </w:p>
    <w:p>
      <w:pPr>
        <w:jc w:val="both"/>
      </w:pPr>
      <w:r>
        <w:t xml:space="preserve">Empresa usuaria: </w:t>
      </w:r>
      <w:r>
        <w:rPr>
          <w:b/>
          <w:shd w:val="solid" w:color="00FFFF" w:fill="FF0000"/>
        </w:rPr>
        <w:t>{{ETT_EMPRESA_USUARIA|empresa usuaria}}</w:t>
      </w:r>
      <w:r>
        <w:t xml:space="preserve">. Causa que habilita cada contrato de puesta a disposición: </w:t>
      </w:r>
      <w:r>
        <w:rPr>
          <w:b/>
          <w:shd w:val="solid" w:color="00FFFF" w:fill="FF0000"/>
        </w:rPr>
        <w:t>{{ETT_CAUSA|causa de cada contrato de puesta a disposición}}</w:t>
      </w:r>
      <w:r>
        <w:t>.</w:t>
      </w:r>
    </w:p>
    <w:p>
      <w:pPr>
        <w:spacing w:after="0"/>
      </w:pPr>
      <w:r>
        <w:rPr>
          <w:i/>
          <w:color w:val="808080"/>
          <w:sz w:val="16"/>
        </w:rPr>
        <w:t>{{/SI}}</w:t>
      </w:r>
    </w:p>
    <w:p>
      <w:pPr>
        <w:keepNext/>
      </w:pPr>
      <w:r>
        <w:rPr>
          <w:b/>
          <w:color w:val="0066CC"/>
        </w:rPr>
        <w:t>Sistemas automatizados, igualdad y conciliación</w:t>
      </w:r>
    </w:p>
    <w:p>
      <w:pPr>
        <w:spacing w:after="0"/>
      </w:pPr>
      <w:r>
        <w:rPr>
          <w:i/>
          <w:color w:val="808080"/>
          <w:sz w:val="16"/>
        </w:rPr>
        <w:t>{{#SI HAY_SISTEMAS_AUTOMATIZADOS|¿La empresa usa sistemas algorítmicos o automatizados de toma de decisiones (para lo que sea)?}}</w:t>
      </w:r>
    </w:p>
    <w:p>
      <w:pPr>
        <w:jc w:val="both"/>
      </w:pPr>
      <w:r>
        <w:t xml:space="preserve">La empresa utiliza los siguientes sistemas algorítmicos o automatizados de toma de decisiones: </w:t>
      </w:r>
      <w:r>
        <w:rPr>
          <w:b/>
          <w:shd w:val="solid" w:color="00FFFF" w:fill="FF0000"/>
        </w:rPr>
        <w:t>{{SISTEMAS_IDENTIFICACION|identificación de cada sistema y para qué se usa}}</w:t>
      </w:r>
      <w:r>
        <w:t>.</w:t>
      </w:r>
    </w:p>
    <w:p>
      <w:pPr>
        <w:spacing w:after="0"/>
      </w:pPr>
      <w:r>
        <w:rPr>
          <w:i/>
          <w:color w:val="808080"/>
          <w:sz w:val="16"/>
        </w:rPr>
        <w:t>{{#SI SISTEMAS_CONDICIONES|¿Alguno decide sobre jornada, tareas, salario, progresión, lugar de trabajo o extinción?}}</w:t>
      </w:r>
    </w:p>
    <w:p>
      <w:pPr>
        <w:jc w:val="both"/>
      </w:pPr>
      <w:r>
        <w:t xml:space="preserve">Cuando se emplean para decisiones relativas a las condiciones de trabajo, sus pautas, criterios y reglas de funcionamiento son: </w:t>
      </w:r>
      <w:r>
        <w:rPr>
          <w:b/>
          <w:shd w:val="solid" w:color="00FFFF" w:fill="FF0000"/>
        </w:rPr>
        <w:t>{{SISTEMAS_DESCRIPCION|decisiones afectadas, pautas, criterios y reglas}}</w:t>
      </w:r>
      <w:r>
        <w:t>.</w:t>
      </w:r>
    </w:p>
    <w:p>
      <w:pPr>
        <w:spacing w:after="0"/>
      </w:pPr>
      <w:r>
        <w:rPr>
          <w:i/>
          <w:color w:val="808080"/>
          <w:sz w:val="16"/>
        </w:rPr>
        <w:t>{{/SI}}</w:t>
      </w:r>
    </w:p>
    <w:p>
      <w:pPr>
        <w:spacing w:after="0"/>
      </w:pPr>
      <w:r>
        <w:rPr>
          <w:i/>
          <w:color w:val="808080"/>
          <w:sz w:val="16"/>
        </w:rPr>
        <w:t>{{/SI}}</w:t>
      </w:r>
    </w:p>
    <w:p>
      <w:pPr>
        <w:spacing w:after="0"/>
      </w:pPr>
      <w:r>
        <w:rPr>
          <w:i/>
          <w:color w:val="808080"/>
          <w:sz w:val="16"/>
        </w:rPr>
        <w:t>{{#NO HAY_SISTEMAS_AUTOMATIZADOS|¿La empresa usa sistemas algorítmicos o automatizados de toma de decisiones (para lo que sea)?}}</w:t>
      </w:r>
    </w:p>
    <w:p>
      <w:pPr>
        <w:jc w:val="both"/>
      </w:pPr>
      <w:r>
        <w:t>La empresa no utiliza sistemas algorítmicos o automatizados de toma de decisiones.</w:t>
      </w:r>
    </w:p>
    <w:p>
      <w:pPr>
        <w:spacing w:after="0"/>
      </w:pPr>
      <w:r>
        <w:rPr>
          <w:i/>
          <w:color w:val="808080"/>
          <w:sz w:val="16"/>
        </w:rPr>
        <w:t>{{/SI}}</w:t>
      </w:r>
    </w:p>
    <w:p>
      <w:pPr>
        <w:jc w:val="both"/>
      </w:pPr>
      <w:r>
        <w:t xml:space="preserve">Plan de igualdad: </w:t>
      </w:r>
      <w:r>
        <w:rPr>
          <w:b/>
          <w:shd w:val="solid" w:color="00FFFF" w:fill="FF0000"/>
        </w:rPr>
        <w:t>{{PLAN_IGUALDAD|existencia e identificación del plan de igualdad, o que no existe}}</w:t>
      </w:r>
      <w:r>
        <w:t xml:space="preserve">. Protocolo frente al acoso sexual y por razón de sexo: </w:t>
      </w:r>
      <w:r>
        <w:rPr>
          <w:b/>
          <w:shd w:val="solid" w:color="00FFFF" w:fill="FF0000"/>
        </w:rPr>
        <w:t>{{PROTOCOLO_ACOSO|identificación del protocolo y dónde consultarlo}}</w:t>
      </w:r>
      <w:r>
        <w:t>.</w:t>
      </w:r>
    </w:p>
    <w:p>
      <w:pPr>
        <w:spacing w:after="0"/>
      </w:pPr>
      <w:r>
        <w:rPr>
          <w:i/>
          <w:color w:val="808080"/>
          <w:sz w:val="16"/>
        </w:rPr>
        <w:t>{{#SI HAY_POLITICA_CONCILIACION|¿La empresa tiene una política de conciliación que adapte o desarrolle la mínima legal?}}</w:t>
      </w:r>
    </w:p>
    <w:p>
      <w:pPr>
        <w:jc w:val="both"/>
      </w:pPr>
      <w:r>
        <w:t xml:space="preserve">Política empresarial de conciliación de la vida personal, familiar y laboral: </w:t>
      </w:r>
      <w:r>
        <w:rPr>
          <w:b/>
          <w:shd w:val="solid" w:color="00FFFF" w:fill="FF0000"/>
        </w:rPr>
        <w:t>{{POLITICA_CONCILIACION|política de conciliación y dónde consultarla}}</w:t>
      </w:r>
      <w:r>
        <w:t>.</w:t>
      </w:r>
    </w:p>
    <w:p>
      <w:pPr>
        <w:spacing w:after="0"/>
      </w:pPr>
      <w:r>
        <w:rPr>
          <w:i/>
          <w:color w:val="808080"/>
          <w:sz w:val="16"/>
        </w:rPr>
        <w:t>{{/SI}}</w:t>
      </w:r>
    </w:p>
    <w:p>
      <w:pPr>
        <w:spacing w:after="0"/>
      </w:pPr>
      <w:r>
        <w:rPr>
          <w:i/>
          <w:color w:val="808080"/>
          <w:sz w:val="16"/>
        </w:rPr>
        <w:t>{{#SI HAY_MEDIDAS_LGTBI|¿La empresa tiene medidas planificadas para la igualdad de las personas LGTBI?}}</w:t>
      </w:r>
    </w:p>
    <w:p>
      <w:pPr>
        <w:jc w:val="both"/>
      </w:pPr>
      <w:r>
        <w:t xml:space="preserve">Conjunto planificado de medidas y recursos para la igualdad real y efectiva de las personas LGTBI: </w:t>
      </w:r>
      <w:r>
        <w:rPr>
          <w:b/>
          <w:shd w:val="solid" w:color="00FFFF" w:fill="FF0000"/>
        </w:rPr>
        <w:t>{{MEDIDAS_LGTBI|medidas LGTBI y dónde consultarlas}}</w:t>
      </w:r>
      <w:r>
        <w:t>.</w:t>
      </w:r>
    </w:p>
    <w:p>
      <w:pPr>
        <w:spacing w:after="0"/>
      </w:pPr>
      <w:r>
        <w:rPr>
          <w:i/>
          <w:color w:val="808080"/>
          <w:sz w:val="16"/>
        </w:rPr>
        <w:t>{{/SI}}</w:t>
      </w:r>
    </w:p>
    <w:p>
      <w:pPr>
        <w:keepNext/>
      </w:pPr>
      <w:r>
        <w:rPr>
          <w:b/>
          <w:color w:val="0066CC"/>
        </w:rPr>
        <w:t>Seguridad Social</w:t>
      </w:r>
    </w:p>
    <w:p>
      <w:pPr>
        <w:jc w:val="both"/>
      </w:pPr>
      <w:r>
        <w:t xml:space="preserve">Sistema de colaboración en la gestión de la Seguridad Social y entidad gestora o colaboradora por la que opta la empresa para cada contingencia: </w:t>
      </w:r>
      <w:r>
        <w:rPr>
          <w:b/>
          <w:shd w:val="solid" w:color="00FFFF" w:fill="FF0000"/>
        </w:rPr>
        <w:t>{{SISTEMA_SS|p. ej. INSS y mutua X para contingencias profesionales e IT común}}</w:t>
      </w:r>
      <w:r>
        <w:t xml:space="preserve">. Mejoras voluntarias de la acción protectora: </w:t>
      </w:r>
      <w:r>
        <w:rPr>
          <w:b/>
          <w:shd w:val="solid" w:color="00FFFF" w:fill="FF0000"/>
        </w:rPr>
        <w:t>{{MEJORAS_VOLUNTARIAS|mejoras voluntarias o «no existen»}}</w:t>
      </w:r>
      <w:r>
        <w:t xml:space="preserve">. Planes y fondos de pensiones promovidos y aportaciones: </w:t>
      </w:r>
      <w:r>
        <w:rPr>
          <w:b/>
          <w:shd w:val="solid" w:color="00FFFF" w:fill="FF0000"/>
        </w:rPr>
        <w:t>{{PLANES_PENSIONES|planes de pensiones y aportaciones, o «no existen»}}</w:t>
      </w:r>
      <w:r>
        <w:t>.</w:t>
      </w:r>
    </w:p>
    <w:p>
      <w:pPr>
        <w:keepNext/>
      </w:pPr>
      <w:r>
        <w:rPr>
          <w:b/>
          <w:color w:val="0066CC"/>
        </w:rPr>
        <w:t>Extinción del contrato</w:t>
      </w:r>
    </w:p>
    <w:p>
      <w:pPr>
        <w:jc w:val="both"/>
      </w:pPr>
      <w:r>
        <w:t xml:space="preserve">El procedimiento de extinción, sus requisitos formales y los plazos de preaviso son los de </w:t>
      </w:r>
      <w:r>
        <w:rPr>
          <w:b/>
          <w:shd w:val="solid" w:color="00FFFF" w:fill="FF0000"/>
        </w:rPr>
        <w:t>{{REF_EXTINCION|remisión: extinción y preavisos}}</w:t>
      </w:r>
      <w:r>
        <w:t>.</w:t>
      </w:r>
    </w:p>
    <w:p>
      <w:pPr>
        <w:keepNext/>
      </w:pPr>
      <w:r>
        <w:rPr>
          <w:b/>
          <w:color w:val="0066CC"/>
        </w:rPr>
        <w:t>Modificación de las condiciones</w:t>
      </w:r>
    </w:p>
    <w:p>
      <w:pPr>
        <w:jc w:val="both"/>
      </w:pPr>
      <w:r>
        <w:t>El contenido de la prestación, la clasificación, el salario y el tiempo de trabajo pueden modificarse por acuerdo de las partes y, además, en los siguientes supuestos y por los siguientes procedimientos: a) movilidad funcional (artículo 39 del Estatuto de los Trabajadores): dentro del grupo profesional, conforme a las titulaciones requeridas y con respeto a la dignidad de la persona trabajadora; fuera del grupo, solo por razones técnicas u organizativas, por el tiempo imprescindible y comunicándolo a la representación legal; b) traslado o desplazamiento (artículo 40): por razones económicas, técnicas, organizativas o de producción, notificando el traslado con treinta días de antelación y el desplazamiento con antelación suficiente, no inferior a cinco días laborables si dura más de tres meses; c) modificación sustancial de la jornada, el horario y la distribución del tiempo de trabajo, el trabajo a turnos, el sistema de remuneración y la cuantía salarial, el sistema de trabajo y rendimiento o las funciones (artículo 41): por esas mismas razones, notificada con quince días de antelación a su efectividad y, si es colectiva, tras un período de consultas con la representación legal; d) distribución irregular de la jornada (artículo 34.2): a falta de pacto, hasta el diez por ciento de la jornada anual, conociendo la persona trabajadora el día y la hora de la prestación con un preaviso mínimo de cinco días.</w:t>
      </w:r>
    </w:p>
    <w:p>
      <w:pPr>
        <w:spacing w:after="0"/>
      </w:pPr>
      <w:r>
        <w:rPr>
          <w:i/>
          <w:color w:val="808080"/>
          <w:sz w:val="16"/>
        </w:rPr>
        <w:t>{{#SI HAY_CONVENIO|¿Hay convenio colectivo aplicable?}}</w:t>
      </w:r>
    </w:p>
    <w:p>
      <w:pPr>
        <w:jc w:val="both"/>
      </w:pPr>
      <w:r>
        <w:t xml:space="preserve">Se aplican además </w:t>
      </w:r>
      <w:r>
        <w:rPr>
          <w:b/>
          <w:shd w:val="solid" w:color="00FFFF" w:fill="FF0000"/>
        </w:rPr>
        <w:t>{{REF_MODIFICACION|artículos del convenio sobre modificación de condiciones}}</w:t>
      </w:r>
      <w:r>
        <w:t xml:space="preserve"> y, en su caso, la inaplicación de condiciones del convenio prevista en el artículo 82.3 del Estatuto de los Trabajadores, por las causas y con el procedimiento allí establecidos.</w:t>
      </w:r>
    </w:p>
    <w:p>
      <w:pPr>
        <w:spacing w:after="0"/>
      </w:pPr>
      <w:r>
        <w:rPr>
          <w:i/>
          <w:color w:val="808080"/>
          <w:sz w:val="16"/>
        </w:rPr>
        <w:t>{{/SI}}</w:t>
      </w:r>
    </w:p>
    <w:p>
      <w:pPr>
        <w:jc w:val="both"/>
      </w:pPr>
      <w:r>
        <w:t>Cualquier modificación de los elementos informados se comunicará por escrito lo antes posible y, a más tardar, el día en que surta efecto, salvo que la información se haya facilitado por remisión a disposiciones legales o al convenio colectivo y la modificación derive de un cambio de estos (artículos 5 y 7.3 del Real Decreto 723/2026).</w:t>
      </w:r>
    </w:p>
    <w:p>
      <w:pPr>
        <w:spacing w:after="0"/>
      </w:pPr>
      <w:r>
        <w:rPr>
          <w:i/>
          <w:color w:val="808080"/>
          <w:sz w:val="16"/>
        </w:rPr>
        <w:t>{{#SI HAY_TRABAJO_EXTRANJERO|¿Va a trabajar en el extranjero más de cuatro semanas seguidas?}}</w:t>
      </w:r>
    </w:p>
    <w:p>
      <w:pPr>
        <w:keepNext/>
      </w:pPr>
      <w:r>
        <w:rPr>
          <w:b/>
          <w:color w:val="0066CC"/>
        </w:rPr>
        <w:t>Trabajo en el extranjero</w:t>
      </w:r>
    </w:p>
    <w:p>
      <w:pPr>
        <w:jc w:val="both"/>
      </w:pPr>
      <w:r>
        <w:t xml:space="preserve">País o países: </w:t>
      </w:r>
      <w:r>
        <w:rPr>
          <w:b/>
          <w:shd w:val="solid" w:color="00FFFF" w:fill="FF0000"/>
        </w:rPr>
        <w:t>{{PAIS_EXTRANJERO|país o países}}</w:t>
      </w:r>
      <w:r>
        <w:t xml:space="preserve">. Duración: </w:t>
      </w:r>
      <w:r>
        <w:rPr>
          <w:b/>
          <w:shd w:val="solid" w:color="00FFFF" w:fill="FF0000"/>
        </w:rPr>
        <w:t>{{DURACION_EXTRANJERO|duración del trabajo en el extranjero}}</w:t>
      </w:r>
      <w:r>
        <w:t xml:space="preserve">. Moneda de pago del salario: </w:t>
      </w:r>
      <w:r>
        <w:rPr>
          <w:b/>
          <w:shd w:val="solid" w:color="00FFFF" w:fill="FF0000"/>
        </w:rPr>
        <w:t>{{MONEDA|moneda}}</w:t>
      </w:r>
      <w:r>
        <w:t xml:space="preserve">. Retribuciones en dinero o en especie, compensaciones por gastos, gastos de viaje, dietas y ventajas por el desplazamiento: </w:t>
      </w:r>
      <w:r>
        <w:rPr>
          <w:b/>
          <w:shd w:val="solid" w:color="00FFFF" w:fill="FF0000"/>
        </w:rPr>
        <w:t>{{RETRIBUCION_EXTRANJERO|retribuciones y compensaciones}}</w:t>
      </w:r>
      <w:r>
        <w:t xml:space="preserve">. Repatriación y sus condiciones: </w:t>
      </w:r>
      <w:r>
        <w:rPr>
          <w:b/>
          <w:shd w:val="solid" w:color="00FFFF" w:fill="FF0000"/>
        </w:rPr>
        <w:t>{{REPATRIACION|si está prevista y sus condiciones}}</w:t>
      </w:r>
      <w:r>
        <w:t xml:space="preserve"> (artículo 4.1 del Real Decreto 723/2026).</w:t>
      </w:r>
    </w:p>
    <w:p>
      <w:pPr>
        <w:spacing w:after="0"/>
      </w:pPr>
      <w:r>
        <w:rPr>
          <w:i/>
          <w:color w:val="808080"/>
          <w:sz w:val="16"/>
        </w:rPr>
        <w:t>{{#SI DESPLAZAMIENTO_UE|¿Es un desplazamiento a la UE o al EEE en una prestación de servicios transnacional?}}</w:t>
      </w:r>
    </w:p>
    <w:p>
      <w:pPr>
        <w:jc w:val="both"/>
      </w:pPr>
      <w:r>
        <w:t xml:space="preserve">Retribución a la que tiene derecho con arreglo a la legislación del Estado de acogida: </w:t>
      </w:r>
      <w:r>
        <w:rPr>
          <w:b/>
          <w:shd w:val="solid" w:color="00FFFF" w:fill="FF0000"/>
        </w:rPr>
        <w:t>{{RETRIBUCION_ACOGIDA|retribución o remisión precisa a la norma del Estado de acogida}}</w:t>
      </w:r>
      <w:r>
        <w:t xml:space="preserve">. Reembolso de gastos de viaje, alojamiento y manutención y complemento por desplazamiento: </w:t>
      </w:r>
      <w:r>
        <w:rPr>
          <w:b/>
          <w:shd w:val="solid" w:color="00FFFF" w:fill="FF0000"/>
        </w:rPr>
        <w:t>{{REEMBOLSO_GASTOS|reembolso de gastos y complemento}}</w:t>
      </w:r>
      <w:r>
        <w:t xml:space="preserve">. Portal web oficial único sobre desplazamiento del Estado de acogida: </w:t>
      </w:r>
      <w:r>
        <w:rPr>
          <w:b/>
          <w:shd w:val="solid" w:color="00FFFF" w:fill="FF0000"/>
        </w:rPr>
        <w:t>{{PORTAL_DESPLAZAMIENTO|enlace al portal oficial}}</w:t>
      </w:r>
      <w:r>
        <w:t xml:space="preserve"> (artículo 4.1.f del Real Decreto 723/2026).</w:t>
      </w:r>
    </w:p>
    <w:p>
      <w:pPr>
        <w:spacing w:after="0"/>
      </w:pPr>
      <w:r>
        <w:rPr>
          <w:i/>
          <w:color w:val="808080"/>
          <w:sz w:val="16"/>
        </w:rPr>
        <w:t>{{/SI}}</w:t>
      </w:r>
    </w:p>
    <w:p>
      <w:pPr>
        <w:spacing w:after="0"/>
      </w:pPr>
      <w:r>
        <w:rPr>
          <w:i/>
          <w:color w:val="808080"/>
          <w:sz w:val="16"/>
        </w:rPr>
        <w:t>{{/SI}}</w:t>
      </w:r>
    </w:p>
    <w:p>
      <w:pPr>
        <w:keepNext/>
      </w:pPr>
      <w:r>
        <w:rPr>
          <w:b/>
          <w:color w:val="0066CC"/>
        </w:rPr>
        <w:t>Entrega</w:t>
      </w:r>
    </w:p>
    <w:p>
      <w:pPr>
        <w:jc w:val="both"/>
      </w:pPr>
      <w:r>
        <w:t xml:space="preserve">Este documento se entrega </w:t>
      </w:r>
      <w:r>
        <w:rPr>
          <w:b/>
          <w:shd w:val="solid" w:color="00FFFF" w:fill="FF0000"/>
        </w:rPr>
        <w:t>{{FORMA_ENTREGA|en papel o en formato electrónico, y cómo}}</w:t>
      </w:r>
      <w:r>
        <w:t>, de forma accesible y que permite su almacenamiento e impresión. La firma de la persona trabajadora acredita su recepción (artículo 6 del Real Decreto 723/2026).</w:t>
      </w:r>
    </w:p>
    <w:p>
      <w:r>
        <w:t xml:space="preserve">En </w:t>
      </w:r>
      <w:r>
        <w:rPr>
          <w:b/>
          <w:shd w:val="solid" w:color="00FFFF" w:fill="FF0000"/>
        </w:rPr>
        <w:t>{{LOCALIDAD|localidad de la firma}}</w:t>
      </w:r>
      <w:r>
        <w:t xml:space="preserve">, a </w:t>
      </w:r>
      <w:r>
        <w:rPr>
          <w:b/>
          <w:shd w:val="solid" w:color="00FFFF" w:fill="FF0000"/>
        </w:rPr>
        <w:t>{{FECHA_FIRMA|fecha de la firma}}</w:t>
      </w:r>
      <w:r>
        <w:t>.</w:t>
      </w:r>
    </w:p>
    <w:p>
      <w:pPr>
        <w:spacing w:before="840"/>
      </w:pPr>
      <w:r>
        <w:t xml:space="preserve">Por la empresa: </w:t>
      </w:r>
      <w:r>
        <w:rPr>
          <w:b/>
          <w:shd w:val="solid" w:color="00FFFF" w:fill="FF0000"/>
        </w:rPr>
        <w:t>{{REPRESENTANTE|nombre y cargo de quien firma por la empresa}}</w:t>
      </w:r>
    </w:p>
    <w:p>
      <w:pPr>
        <w:spacing w:before="840"/>
      </w:pPr>
      <w:r>
        <w:t xml:space="preserve">Recibí, la persona trabajadora: </w:t>
      </w:r>
      <w:r>
        <w:rPr>
          <w:b/>
          <w:shd w:val="solid" w:color="00FFFF" w:fill="FF0000"/>
        </w:rPr>
        <w:t>{{NOMBRE|nombre y apellidos de la persona trabajadora}}</w:t>
      </w:r>
    </w:p>
    <w:sectPr w:rsidR="003A67A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D47FF"/>
    <w:multiLevelType w:val="hybridMultilevel"/>
    <w:tmpl w:val="69E6F71C"/>
    <w:lvl w:ilvl="0" w:tplc="B3F2B9B8" w:tentative="1">
      <w:start w:val="1"/>
      <w:numFmt w:val="bullet"/>
      <w:lvlText w:val="●"/>
      <w:lvlJc w:val="left"/>
      <w:pPr>
        <w:ind w:left="720" w:hanging="360"/>
      </w:pPr>
    </w:lvl>
    <w:lvl w:ilvl="1" w:tplc="65FE1D98" w:tentative="1">
      <w:start w:val="1"/>
      <w:numFmt w:val="bullet"/>
      <w:lvlText w:val="○"/>
      <w:lvlJc w:val="left"/>
      <w:pPr>
        <w:ind w:left="1440" w:hanging="360"/>
      </w:pPr>
    </w:lvl>
    <w:lvl w:ilvl="2" w:tplc="D896974C" w:tentative="1">
      <w:start w:val="1"/>
      <w:numFmt w:val="bullet"/>
      <w:lvlText w:val="■"/>
      <w:lvlJc w:val="left"/>
      <w:pPr>
        <w:ind w:left="2160" w:hanging="360"/>
      </w:pPr>
    </w:lvl>
    <w:lvl w:ilvl="3" w:tplc="D5E41446" w:tentative="1">
      <w:start w:val="1"/>
      <w:numFmt w:val="bullet"/>
      <w:lvlText w:val="●"/>
      <w:lvlJc w:val="left"/>
      <w:pPr>
        <w:ind w:left="2880" w:hanging="360"/>
      </w:pPr>
    </w:lvl>
    <w:lvl w:ilvl="4" w:tplc="25EC3ADC" w:tentative="1">
      <w:start w:val="1"/>
      <w:numFmt w:val="bullet"/>
      <w:lvlText w:val="○"/>
      <w:lvlJc w:val="left"/>
      <w:pPr>
        <w:ind w:left="3600" w:hanging="360"/>
      </w:pPr>
    </w:lvl>
    <w:lvl w:ilvl="5" w:tplc="6192B228" w:tentative="1">
      <w:start w:val="1"/>
      <w:numFmt w:val="bullet"/>
      <w:lvlText w:val="■"/>
      <w:lvlJc w:val="left"/>
      <w:pPr>
        <w:ind w:left="4320" w:hanging="360"/>
      </w:pPr>
    </w:lvl>
    <w:lvl w:ilvl="6" w:tplc="1DD8658C" w:tentative="1">
      <w:start w:val="1"/>
      <w:numFmt w:val="bullet"/>
      <w:lvlText w:val="●"/>
      <w:lvlJc w:val="left"/>
      <w:pPr>
        <w:ind w:left="5040" w:hanging="360"/>
      </w:pPr>
    </w:lvl>
    <w:lvl w:ilvl="7" w:tplc="05AE345A" w:tentative="1">
      <w:start w:val="1"/>
      <w:numFmt w:val="bullet"/>
      <w:lvlText w:val="●"/>
      <w:lvlJc w:val="left"/>
      <w:pPr>
        <w:ind w:left="5760" w:hanging="360"/>
      </w:pPr>
    </w:lvl>
    <w:lvl w:ilvl="8" w:tplc="E58A5FF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955726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3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7AA"/>
    <w:rsid w:val="001E1F4D"/>
    <w:rsid w:val="003A67AA"/>
    <w:rsid w:val="0098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606CA"/>
  <w15:docId w15:val="{B9A99D88-C518-4A27-B1EA-6043F3181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8"/>
        <w:szCs w:val="28"/>
        <w:lang w:val="es-ES" w:eastAsia="es-ES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online.elderecho.com/login.do?nref=2026/14473&amp;anchor=ART.5&amp;producto_inicial=*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nline.elderecho.com/login.do?nref=2016/900129&amp;marginal=8253&amp;producto_inicial=*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line.elderecho.com/login.do?nref=2011/900044&amp;marginal=1613&amp;producto_inicial=*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nline.elderecho.com/login.do?nref=2026/14473&amp;anchor=ART.3&amp;producto_inicial=*" TargetMode="External"/><Relationship Id="rId10" Type="http://schemas.openxmlformats.org/officeDocument/2006/relationships/hyperlink" Target="https://online.elderecho.com/login.do?nref=2026/14473&amp;anchor=ART.8&amp;producto_inicial=*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line.elderecho.com/login.do?nref=2026/14473&amp;anchor=ART.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2406</Words>
  <Characters>13234</Characters>
  <Application>Microsoft Office Word</Application>
  <DocSecurity>0</DocSecurity>
  <Lines>110</Lines>
  <Paragraphs>31</Paragraphs>
  <ScaleCrop>false</ScaleCrop>
  <Company/>
  <LinksUpToDate>false</LinksUpToDate>
  <CharactersWithSpaces>15609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Ángeles Ramiro Gutiérrez</cp:lastModifiedBy>
  <cp:revision>2</cp:revision>
  <dcterms:created xsi:type="dcterms:W3CDTF">2026-10-09T11:26:00Z</dcterms:created>
  <dcterms:modified xsi:type="dcterms:W3CDTF">2026-10-09T11:46:00Z</dcterms:modified>
  <dc:title>Anexo al contrato de trabajo (RD 723/2026)</dc:title>
</cp:coreProperties>
</file>