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5C7D1" w14:textId="77777777" w:rsidR="003A67AA" w:rsidRDefault="0098128B">
      <w:r>
        <w:t>ANEXO AL CONTRATO DE TRABAJO SOBRE ELEMENTOS ESENCIALES Y CONDICIONES DE PRESTACIÓN DE SERVICIOS</w:t>
      </w:r>
    </w:p>
    <w:p w14:paraId="6D1F93E9" w14:textId="77777777" w:rsidR="003A67AA" w:rsidRDefault="0098128B">
      <w:r>
        <w:t>REUNIDOS</w:t>
      </w:r>
    </w:p>
    <w:p w14:paraId="6F7A3C91" w14:textId="304D36EF" w:rsidR="003A67AA" w:rsidRDefault="0098128B">
      <w:r>
        <w:t>De una parte,</w:t>
      </w:r>
      <w:r>
        <w:t xml:space="preserve"> </w:t>
      </w:r>
      <w:r w:rsidRPr="0098128B">
        <w:rPr>
          <w:b/>
          <w:bCs/>
          <w:shd w:val="solid" w:color="00FFFF" w:fill="FF0000"/>
        </w:rPr>
        <w:t>{{EMPRESA|denominación social completa de la empresa}}</w:t>
      </w:r>
      <w:r>
        <w:rPr>
          <w:b/>
          <w:bCs/>
          <w:shd w:val="solid" w:color="00FFFF" w:fill="FF0000"/>
        </w:rPr>
      </w:r>
      <w:r>
        <w:t xml:space="preserve">, con NIF </w:t>
      </w:r>
      <w:r>
        <w:rPr>
          <w:b/>
          <w:bCs/>
          <w:shd w:val="solid" w:color="00FFFF" w:fill="FF0000"/>
        </w:rPr>
        <w:t>{{CIF_EMPRESA|NIF de la empresa}}</w:t>
      </w:r>
      <w:r>
        <w:t xml:space="preserve">, domicilio social en </w:t>
      </w:r>
      <w:r>
        <w:rPr>
          <w:b/>
          <w:bCs/>
          <w:shd w:val="solid" w:color="00FFFF" w:fill="FF0000"/>
        </w:rPr>
        <w:t>{{DOMICILIO_EMPRESA|domicilio social de la empresa}}</w:t>
      </w:r>
      <w:r>
        <w:t xml:space="preserve">, representada por </w:t>
      </w:r>
      <w:r>
        <w:rPr>
          <w:b/>
          <w:bCs/>
          <w:shd w:val="solid" w:color="00FFFF" w:fill="FF0000"/>
        </w:rPr>
        <w:t>{{REPRESENTANTE|nombre y cargo de quien firma por la empresa}}</w:t>
      </w:r>
      <w:r>
        <w:t>.</w:t>
      </w:r>
    </w:p>
    <w:p w14:paraId="3F72684F" w14:textId="77777777" w:rsidR="003A67AA" w:rsidRDefault="0098128B">
      <w:r>
        <w:t xml:space="preserve">De otra, </w:t>
      </w:r>
      <w:r>
        <w:rPr>
          <w:b/>
          <w:bCs/>
          <w:shd w:val="solid" w:color="00FFFF" w:fill="FF0000"/>
        </w:rPr>
        <w:t>{{NOMBRE|nombre y apellidos de la persona trabajadora}}</w:t>
      </w:r>
      <w:r>
        <w:t xml:space="preserve">, con documento identificativo </w:t>
      </w:r>
      <w:r>
        <w:rPr>
          <w:b/>
          <w:bCs/>
          <w:shd w:val="solid" w:color="00FFFF" w:fill="FF0000"/>
        </w:rPr>
        <w:t>{{DOCUMENTO|documento identificativo (tipo y número)}}</w:t>
      </w:r>
      <w:r>
        <w:t>.</w:t>
      </w:r>
    </w:p>
    <w:p w14:paraId="23186C41" w14:textId="77777777" w:rsidR="003A67AA" w:rsidRDefault="0098128B">
      <w:r>
        <w:t xml:space="preserve">Ambas partes se reconocen capacidad para suscribir este anexo al contrato de trabajo de fecha </w:t>
      </w:r>
      <w:r>
        <w:rPr>
          <w:b/>
          <w:bCs/>
          <w:shd w:val="solid" w:color="00FFFF" w:fill="FF0000"/>
        </w:rPr>
        <w:t>{{FECHA_CONTRATO|fecha del contrato}}</w:t>
      </w:r>
      <w:r>
        <w:t>.</w:t>
      </w:r>
    </w:p>
    <w:p w14:paraId="7AFDAD03" w14:textId="77777777" w:rsidR="003A67AA" w:rsidRDefault="0098128B">
      <w:r>
        <w:t>MANIFESTACIONES</w:t>
      </w:r>
    </w:p>
    <w:p w14:paraId="70E33D27" w14:textId="77777777" w:rsidR="003A67AA" w:rsidRDefault="0098128B">
      <w:r>
        <w:t xml:space="preserve">La empresa desarrolla la actividad de </w:t>
      </w:r>
      <w:r>
        <w:rPr>
          <w:b/>
          <w:bCs/>
          <w:shd w:val="solid" w:color="00FFFF" w:fill="FF0000"/>
        </w:rPr>
        <w:t>{{ACTIVIDAD_EMPRESA|actividad efectiva de la empresa}}</w:t>
      </w:r>
      <w:r>
        <w:t xml:space="preserve"> y la persona trabajadora presta servicios en </w:t>
      </w:r>
      <w:r>
        <w:rPr>
          <w:b/>
          <w:bCs/>
          <w:shd w:val="solid" w:color="00FFFF" w:fill="FF0000"/>
        </w:rPr>
        <w:t>{{CENTRO_TRABAJO|centro o ámbito de prestación de servicios}}</w:t>
      </w:r>
      <w:r>
        <w:t>. Las partes identifican como convenio aplicable, previa comprobación del ámbito de la relación laboral, el Convenio Colectivo de Trabajo del sector Industrias Siderometalúrgicas de la provincia de Badajoz.</w:t>
      </w:r>
    </w:p>
    <w:p w14:paraId="58AE051E" w14:textId="77777777" w:rsidR="003A67AA" w:rsidRDefault="0098128B">
      <w:r>
        <w:lastRenderedPageBreak/>
        <w:t>El presente anexo documenta las condiciones que se indican a continuación. Completa la información del contrato de trabajo y únicamente modifica una condición previamente pactada cuando así se indique expresamente en la estipulación correspondiente.</w:t>
      </w:r>
    </w:p>
    <w:p w14:paraId="270724CB" w14:textId="77777777" w:rsidR="003A67AA" w:rsidRDefault="0098128B">
      <w:r>
        <w:t>ESTIPULACIONES</w:t>
      </w:r>
    </w:p>
    <w:p w14:paraId="581B51DE" w14:textId="77777777" w:rsidR="003A67AA" w:rsidRDefault="0098128B">
      <w:r>
        <w:rPr>
          <w:b/>
          <w:bCs/>
          <w:color w:val="0066CC"/>
        </w:rPr>
        <w:t>1.- Convenio colectivo aplicable</w:t>
      </w:r>
    </w:p>
    <w:p w14:paraId="2B208E7C" w14:textId="77777777" w:rsidR="003A67AA" w:rsidRDefault="0098128B">
      <w:r>
        <w:t xml:space="preserve">Se identifica como aplicable el Convenio Colectivo de Trabajo del sector Industrias Siderometalúrgicas de la provincia de Badajoz, código </w:t>
      </w:r>
      <w:r>
        <w:rPr>
          <w:b/>
          <w:bCs/>
        </w:rPr>
        <w:t>06000505011981</w:t>
      </w:r>
      <w:r>
        <w:t xml:space="preserve">, publicado en el Diario Oficial de Extremadura el </w:t>
      </w:r>
      <w:r>
        <w:rPr>
          <w:b/>
          <w:bCs/>
        </w:rPr>
        <w:t>26 de junio de 2025</w:t>
      </w:r>
      <w:r>
        <w:t xml:space="preserve">. Su período de aplicación comprende del </w:t>
      </w:r>
      <w:r>
        <w:rPr>
          <w:b/>
          <w:bCs/>
        </w:rPr>
        <w:t>1 de enero de 2025 al 31 de diciembre de 2026</w:t>
      </w:r>
      <w:r>
        <w:t xml:space="preserve"> y el artículo 6 prevé su prórroga tácita hasta la firma de un convenio posterior. Si concurre otro convenio colectivo aplicable a esta relación, se identificará también aquí con su código, publicación, vigencia y situación correspondiente: </w:t>
      </w:r>
      <w:r>
        <w:rPr>
          <w:b/>
          <w:bCs/>
          <w:shd w:val="solid" w:color="00FFFF" w:fill="FF0000"/>
        </w:rPr>
        <w:t>{{OTRO_CONVENIO|identificación del otro convenio, si procede}}</w:t>
      </w:r>
      <w:r>
        <w:t>. Se facilita esta identificación conforme al artículo 3.</w:t>
      </w:r>
      <w:r>
        <w:t xml:space="preserve">2.o) del Real Decreto 723/2026. </w:t>
      </w:r>
    </w:p>
    <w:p w14:paraId="1B0706E9" w14:textId="77777777" w:rsidR="003A67AA" w:rsidRDefault="0098128B">
      <w:r>
        <w:rPr>
          <w:b/>
          <w:bCs/>
          <w:color w:val="0066CC"/>
        </w:rPr>
        <w:t>2.- Inicio, modalidad y duración de la relación</w:t>
      </w:r>
    </w:p>
    <w:p w14:paraId="77A0E6A4" w14:textId="77777777" w:rsidR="003A67AA" w:rsidRDefault="0098128B">
      <w:r>
        <w:t xml:space="preserve">La relación laboral comenzó o comenzará el </w:t>
      </w:r>
      <w:r>
        <w:rPr>
          <w:b/>
          <w:bCs/>
          <w:shd w:val="solid" w:color="00FFFF" w:fill="FF0000"/>
        </w:rPr>
        <w:t>{{FECHA_INICIO|fecha de inicio de la relación}}</w:t>
      </w:r>
      <w:r>
        <w:t xml:space="preserve"> y se formalizó mediante </w:t>
      </w:r>
      <w:r>
        <w:rPr>
          <w:b/>
          <w:bCs/>
          <w:shd w:val="solid" w:color="00FFFF" w:fill="FF0000"/>
        </w:rPr>
        <w:t>{{MODALIDAD|modalidad contractual}}</w:t>
      </w:r>
      <w:r>
        <w:t xml:space="preserve">. Su duración es </w:t>
      </w:r>
      <w:r>
        <w:rPr>
          <w:b/>
          <w:bCs/>
          <w:shd w:val="solid" w:color="00FFFF" w:fill="FF0000"/>
        </w:rPr>
        <w:t>{{DURACION|duración: indefinida o determinada}}</w:t>
      </w:r>
      <w:r>
        <w:t xml:space="preserve">. Si es temporal, la fecha de finalización o duración previsible es </w:t>
      </w:r>
      <w:r>
        <w:rPr>
          <w:b/>
          <w:bCs/>
          <w:shd w:val="solid" w:color="00FFFF" w:fill="FF0000"/>
        </w:rPr>
        <w:t>{{FECHA_FIN|fecha de finalización o duración previsible (si es temporal)}}</w:t>
      </w:r>
      <w:r>
        <w:t xml:space="preserve">; la causa habilitante es </w:t>
      </w:r>
      <w:r>
        <w:rPr>
          <w:b/>
          <w:bCs/>
          <w:shd w:val="solid" w:color="00FFFF" w:fill="FF0000"/>
        </w:rPr>
        <w:t>{{CAUSA_TEMPORAL|causa legal habilitante del contrato temporal}}</w:t>
      </w:r>
      <w:r>
        <w:t xml:space="preserve">, sustentada en </w:t>
      </w:r>
      <w:r>
        <w:rPr>
          <w:b/>
          <w:bCs/>
          <w:shd w:val="solid" w:color="00FFFF" w:fill="FF0000"/>
        </w:rPr>
        <w:t>{{CIRCUNSTANCIAS_TEMPORAL|circunstancias específicas que sustentan la causa}}</w:t>
      </w:r>
      <w:r>
        <w:t xml:space="preserve">, cuya conexión con la duración indicada consiste en </w:t>
      </w:r>
      <w:r>
        <w:rPr>
          <w:b/>
          <w:bCs/>
          <w:shd w:val="solid" w:color="00FFFF" w:fill="FF0000"/>
        </w:rPr>
        <w:t>{{EXPLICACION_DURACION|conexión entre la causa y la duración}}</w:t>
      </w:r>
      <w:r>
        <w:t xml:space="preserve">. Si se trata de un contrato fijo-discontinuo, los períodos estimados de actividad e inactividad son </w:t>
      </w:r>
      <w:r>
        <w:rPr>
          <w:b/>
          <w:bCs/>
          <w:shd w:val="solid" w:color="00FFFF" w:fill="FF0000"/>
        </w:rPr>
        <w:t>{{PERIODOS_FIJO_DISCONTINUO|períodos estimados de actividad e inactividad (fijo-discontinuo)}}</w:t>
      </w:r>
      <w:r>
        <w:t>, sin perjuicio de su concr</w:t>
      </w:r>
      <w:r>
        <w:t xml:space="preserve">eción en el llamamiento. Estas precisiones se consignan de acuerdo con </w:t>
      </w:r>
      <w:r>
        <w:t xml:space="preserve">el artículo 3.2.b), d) y g) del Real Decreto 723/2026. </w:t>
      </w:r>
    </w:p>
    <w:p w14:paraId="72BD2526" w14:textId="77777777" w:rsidR="003A67AA" w:rsidRDefault="0098128B">
      <w:r>
        <w:rPr>
          <w:b/>
          <w:bCs/>
          <w:color w:val="0066CC"/>
        </w:rPr>
        <w:t>3.- Lugar de trabajo y funciones</w:t>
      </w:r>
    </w:p>
    <w:p w14:paraId="5D472182" w14:textId="77777777" w:rsidR="003A67AA" w:rsidRDefault="0098128B">
      <w:r>
        <w:t xml:space="preserve">El centro habitual de prestación de servicios es </w:t>
      </w:r>
      <w:r>
        <w:rPr>
          <w:b/>
          <w:bCs/>
          <w:shd w:val="solid" w:color="00FFFF" w:fill="FF0000"/>
        </w:rPr>
        <w:t>{{CENTRO_TRABAJO|identificación y dirección del centro habitual}}</w:t>
      </w:r>
      <w:r>
        <w:t xml:space="preserve">. El centro de adscripción, si existe trabajo a distancia, es </w:t>
      </w:r>
      <w:r>
        <w:rPr>
          <w:b/>
          <w:bCs/>
          <w:shd w:val="solid" w:color="00FFFF" w:fill="FF0000"/>
        </w:rPr>
        <w:t>{{CENTRO_ADSCRIPCION|centro de adscripción si hay trabajo a distancia}}</w:t>
      </w:r>
      <w:r>
        <w:t xml:space="preserve">. La prestación en varios centros, centros móviles o itinerantes, o la facultad de elegir libremente el lugar de trabajo, se concreta así: </w:t>
      </w:r>
      <w:r>
        <w:rPr>
          <w:b/>
          <w:bCs/>
          <w:shd w:val="solid" w:color="00FFFF" w:fill="FF0000"/>
        </w:rPr>
        <w:t>{{VARIOS_CENTROS|varios centros, itinerantes o libre elección del lugar (o «no procede»)}}</w:t>
      </w:r>
      <w:r>
        <w:t>.</w:t>
      </w:r>
    </w:p>
    <w:p w14:paraId="0CDD5810" w14:textId="77777777" w:rsidR="003A67AA" w:rsidRDefault="0098128B">
      <w:r>
        <w:t xml:space="preserve">La persona trabajadora queda adscrita al grupo profesional </w:t>
      </w:r>
      <w:r>
        <w:rPr>
          <w:b/>
          <w:bCs/>
          <w:shd w:val="solid" w:color="00FFFF" w:fill="FF0000"/>
        </w:rPr>
        <w:t>{{GRUPO|grupo profesional (1 a 7)}}</w:t>
      </w:r>
      <w:r>
        <w:t xml:space="preserve">, con categoría o denominación de puesto </w:t>
      </w:r>
      <w:r>
        <w:rPr>
          <w:b/>
          <w:bCs/>
          <w:shd w:val="solid" w:color="00FFFF" w:fill="FF0000"/>
        </w:rPr>
        <w:t>{{PUESTO|categoría o denominación del puesto}}</w:t>
      </w:r>
      <w:r>
        <w:t xml:space="preserve">. Sus funciones comprenden específicamente </w:t>
      </w:r>
      <w:r>
        <w:rPr>
          <w:b/>
          <w:bCs/>
          <w:shd w:val="solid" w:color="00FFFF" w:fill="FF0000"/>
        </w:rPr>
        <w:t>{{FUNCIONES|tareas, responsabilidades y medios de trabajo}}</w:t>
      </w:r>
      <w:r>
        <w:t xml:space="preserve">. La identificación del grupo deberá corresponderse con las funciones efectivas y la clasificación del artículo 25 del convenio, conforme exige el artículo 3.2.c) y e) del Real Decreto 723/2026. </w:t>
      </w:r>
    </w:p>
    <w:p w14:paraId="22881D81" w14:textId="77777777" w:rsidR="003A67AA" w:rsidRDefault="0098128B">
      <w:r>
        <w:rPr>
          <w:b/>
          <w:bCs/>
          <w:color w:val="0066CC"/>
        </w:rPr>
        <w:t>4.- Salario y forma de pago</w:t>
      </w:r>
    </w:p>
    <w:p w14:paraId="5AE0A079" w14:textId="77777777" w:rsidR="003A67AA" w:rsidRDefault="0098128B">
      <w:r>
        <w:t xml:space="preserve">El salario base inicial correspondiente a la categoría indicada, conforme a la tabla salarial del convenio para </w:t>
      </w:r>
      <w:r>
        <w:rPr>
          <w:b/>
          <w:bCs/>
          <w:shd w:val="solid" w:color="00FFFF" w:fill="FF0000"/>
        </w:rPr>
        <w:t>{{ANIO_TABLA|año de la tabla salarial}}</w:t>
      </w:r>
      <w:r>
        <w:t xml:space="preserve">, es de </w:t>
      </w:r>
      <w:r>
        <w:rPr>
          <w:b/>
          <w:bCs/>
          <w:shd w:val="solid" w:color="00FFFF" w:fill="FF0000"/>
        </w:rPr>
        <w:t>{{SALARIO_BASE|importe del salario base}}</w:t>
      </w:r>
      <w:r>
        <w:t xml:space="preserve"> euros por </w:t>
      </w:r>
      <w:r>
        <w:rPr>
          <w:b/>
          <w:bCs/>
          <w:shd w:val="solid" w:color="00FFFF" w:fill="FF0000"/>
        </w:rPr>
        <w:t>{{UNIDAD_DEVENGO|unidad de devengo (mes, día...)}}</w:t>
      </w:r>
      <w:r>
        <w:t xml:space="preserve">. El plus de asistencia de la tabla de </w:t>
      </w:r>
      <w:r>
        <w:rPr>
          <w:b/>
          <w:bCs/>
        </w:rPr>
        <w:t>2026</w:t>
      </w:r>
      <w:r>
        <w:t xml:space="preserve"> es de </w:t>
      </w:r>
      <w:r>
        <w:rPr>
          <w:b/>
          <w:bCs/>
        </w:rPr>
        <w:t>287,60 euros mensuales</w:t>
      </w:r>
      <w:r>
        <w:t xml:space="preserve">, sujeto a las condiciones de devengo y descuento de los artículos 32, 33 y 38 del convenio. La antigüedad reconocida a efectos retributivos es </w:t>
      </w:r>
      <w:r>
        <w:rPr>
          <w:b/>
          <w:bCs/>
          <w:shd w:val="solid" w:color="00FFFF" w:fill="FF0000"/>
        </w:rPr>
        <w:t>{{ANTIGUEDAD|antigüedad reconocida}}</w:t>
      </w:r>
      <w:r>
        <w:t xml:space="preserve"> y su importe inicial, en su caso, es </w:t>
      </w:r>
      <w:r>
        <w:rPr>
          <w:b/>
          <w:bCs/>
          <w:shd w:val="solid" w:color="00FFFF" w:fill="FF0000"/>
        </w:rPr>
        <w:t>{{IMPORTE_ANTIGUEDAD|importe inicial de antigüedad y su cálculo}}</w:t>
      </w:r>
      <w:r>
        <w:t xml:space="preserve"> euros por </w:t>
      </w:r>
      <w:r>
        <w:rPr>
          <w:b/>
          <w:bCs/>
          <w:shd w:val="solid" w:color="00FFFF" w:fill="FF0000"/>
        </w:rPr>
        <w:t>{{PERIODO_ANTIGUEDAD|período de la antigüedad}}</w:t>
      </w:r>
      <w:r>
        <w:t xml:space="preserve">. Cada otro complemento aplicable se identifica separadamente: </w:t>
      </w:r>
      <w:r>
        <w:rPr>
          <w:b/>
          <w:bCs/>
          <w:shd w:val="solid" w:color="00FFFF" w:fill="FF0000"/>
        </w:rPr>
        <w:t>{{OTROS_COMPLEMENTOS|otros complementos: nombre, importe, devengo y condición de percepción}}</w:t>
      </w:r>
      <w:r>
        <w:rPr>
          <w:b/>
          <w:bCs/>
          <w:shd w:val="solid" w:color="00FFFF" w:fill="FF0000"/>
        </w:rPr>
      </w:r>
      <w:r>
        <w:t xml:space="preserve">. Para los conceptos variables se establece este método de cálculo y estos criterios de percepción: </w:t>
      </w:r>
      <w:r>
        <w:rPr>
          <w:b/>
          <w:bCs/>
          <w:shd w:val="solid" w:color="00FFFF" w:fill="FF0000"/>
        </w:rPr>
        <w:t>{{CONCEPTOS_VARIABLES|método y criterios de los conceptos variables (o «no existen»)}}</w:t>
      </w:r>
      <w:r>
        <w:t>.</w:t>
      </w:r>
    </w:p>
    <w:p w14:paraId="76792E27" w14:textId="77777777" w:rsidR="003A67AA" w:rsidRDefault="0098128B">
      <w:r>
        <w:t xml:space="preserve">Se abonarán </w:t>
      </w:r>
      <w:r>
        <w:rPr>
          <w:b/>
          <w:bCs/>
        </w:rPr>
        <w:t>tres gratificaciones extraordinarias</w:t>
      </w:r>
      <w:r>
        <w:t xml:space="preserve">, correspondientes a verano, Navidad y beneficio, en los períodos previstos en el artículo 35 del convenio, por la cuantía que corresponda a la categoría y con la antigüedad procedente. Su eventual prorrateo requiere acuerdo entre empresa y persona trabajadora, que se hará constar así: </w:t>
      </w:r>
      <w:r>
        <w:rPr>
          <w:b/>
          <w:bCs/>
          <w:shd w:val="solid" w:color="00FFFF" w:fill="FF0000"/>
        </w:rPr>
        <w:t>{{PRORRATEO|prorrateo de pagas extra: «sin prorrateo» o acuerdo concreto}}</w:t>
      </w:r>
      <w:r>
        <w:t xml:space="preserve">. El salario ordinario se abonará con periodicidad </w:t>
      </w:r>
      <w:r>
        <w:rPr>
          <w:b/>
          <w:bCs/>
          <w:shd w:val="solid" w:color="00FFFF" w:fill="FF0000"/>
        </w:rPr>
        <w:t>{{PERIODICIDAD_PAGO|periodicidad del pago del salario}}</w:t>
      </w:r>
      <w:r>
        <w:t xml:space="preserve">, el día o conforme al criterio </w:t>
      </w:r>
      <w:r>
        <w:rPr>
          <w:b/>
          <w:bCs/>
          <w:shd w:val="solid" w:color="00FFFF" w:fill="FF0000"/>
        </w:rPr>
        <w:t>{{FECHA_PAGO|día o criterio de pago}}</w:t>
      </w:r>
      <w:r>
        <w:t xml:space="preserve">, mediante </w:t>
      </w:r>
      <w:r>
        <w:rPr>
          <w:b/>
          <w:bCs/>
          <w:shd w:val="solid" w:color="00FFFF" w:fill="FF0000"/>
        </w:rPr>
        <w:t>{{METODO_PAGO|método de pago}}</w:t>
      </w:r>
      <w:r>
        <w:t xml:space="preserve">. Con esta individualización se atiende al artículo 3.2.f) del Real Decreto 723/2026. </w:t>
      </w:r>
    </w:p>
    <w:p w14:paraId="21EC7319" w14:textId="77777777" w:rsidR="003A67AA" w:rsidRDefault="0098128B">
      <w:r>
        <w:rPr>
          <w:b/>
          <w:bCs/>
          <w:color w:val="0066CC"/>
        </w:rPr>
        <w:t>5.- Jornada, horario y turnos</w:t>
      </w:r>
    </w:p>
    <w:p w14:paraId="07085356" w14:textId="77777777" w:rsidR="003A67AA" w:rsidRDefault="0098128B">
      <w:r>
        <w:t xml:space="preserve">La jornada anual convencional a tiempo completo es de </w:t>
      </w:r>
      <w:r>
        <w:rPr>
          <w:b/>
          <w:bCs/>
        </w:rPr>
        <w:t>1.760 horas de trabajo efectivo</w:t>
      </w:r>
      <w:r>
        <w:t xml:space="preserve"> durante los años de vigencia del convenio. La jornada individual pactada es de </w:t>
      </w:r>
      <w:r>
        <w:rPr>
          <w:b/>
          <w:bCs/>
          <w:shd w:val="solid" w:color="00FFFF" w:fill="FF0000"/>
        </w:rPr>
        <w:t>{{HORAS_ANUALES|horas anuales de la jornada individual}}</w:t>
      </w:r>
      <w:r>
        <w:t xml:space="preserve"> horas anuales, </w:t>
      </w:r>
      <w:r>
        <w:rPr>
          <w:b/>
          <w:bCs/>
          <w:shd w:val="solid" w:color="00FFFF" w:fill="FF0000"/>
        </w:rPr>
        <w:t>{{HORAS_SEMANALES|horas semanales}}</w:t>
      </w:r>
      <w:r>
        <w:t xml:space="preserve"> horas semanales y </w:t>
      </w:r>
      <w:r>
        <w:rPr>
          <w:b/>
          <w:bCs/>
          <w:shd w:val="solid" w:color="00FFFF" w:fill="FF0000"/>
        </w:rPr>
        <w:t>{{HORAS_DIARIAS|horas diarias}}</w:t>
      </w:r>
      <w:r>
        <w:t xml:space="preserve"> horas diarias, distribuidas los días </w:t>
      </w:r>
      <w:r>
        <w:rPr>
          <w:b/>
          <w:bCs/>
          <w:shd w:val="solid" w:color="00FFFF" w:fill="FF0000"/>
        </w:rPr>
        <w:t>{{DIAS_PRESTACION|días de prestación}}</w:t>
      </w:r>
      <w:r>
        <w:t xml:space="preserve">, de </w:t>
      </w:r>
      <w:r>
        <w:rPr>
          <w:b/>
          <w:bCs/>
          <w:shd w:val="solid" w:color="00FFFF" w:fill="FF0000"/>
        </w:rPr>
        <w:t>{{HORA_ENTRADA|hora de entrada}}</w:t>
      </w:r>
      <w:r>
        <w:t xml:space="preserve"> a </w:t>
      </w:r>
      <w:r>
        <w:rPr>
          <w:b/>
          <w:bCs/>
          <w:shd w:val="solid" w:color="00FFFF" w:fill="FF0000"/>
        </w:rPr>
        <w:t>{{HORA_SALIDA|hora de salida}}</w:t>
      </w:r>
      <w:r>
        <w:t xml:space="preserve">, con </w:t>
      </w:r>
      <w:r>
        <w:rPr>
          <w:b/>
          <w:bCs/>
          <w:shd w:val="solid" w:color="00FFFF" w:fill="FF0000"/>
        </w:rPr>
        <w:t>{{PAUSAS|pausas y si son o no retribuidas}}</w:t>
      </w:r>
      <w:r>
        <w:t xml:space="preserve">. La modalidad es </w:t>
      </w:r>
      <w:r>
        <w:rPr>
          <w:b/>
          <w:bCs/>
          <w:shd w:val="solid" w:color="00FFFF" w:fill="FF0000"/>
        </w:rPr>
        <w:t>{{TIPO_JORNADA|jornada continuada o partida}}</w:t>
      </w:r>
      <w:r>
        <w:t xml:space="preserve"> y el trabajo nocturno o a turnos </w:t>
      </w:r>
      <w:r>
        <w:rPr>
          <w:b/>
          <w:bCs/>
          <w:shd w:val="solid" w:color="00FFFF" w:fill="FF0000"/>
        </w:rPr>
        <w:t>{{TURNOS|trabajo nocturno o a turnos: «no se realiza» o descripción}}</w:t>
      </w:r>
      <w:r>
        <w:t>.</w:t>
      </w:r>
    </w:p>
    <w:p w14:paraId="6571C822" w14:textId="77777777" w:rsidR="003A67AA" w:rsidRDefault="0098128B">
      <w:r>
        <w:t xml:space="preserve">La distribución se refleja en </w:t>
      </w:r>
      <w:r>
        <w:rPr>
          <w:b/>
          <w:bCs/>
          <w:shd w:val="solid" w:color="00FFFF" w:fill="FF0000"/>
        </w:rPr>
        <w:t>{{CALENDARIO|calendario laboral de empresa: fecha y medio de acceso}}</w:t>
      </w:r>
      <w:r>
        <w:t xml:space="preserve">. Si se aplica distribución irregular, su sistema de fijación es </w:t>
      </w:r>
      <w:r>
        <w:rPr>
          <w:b/>
          <w:bCs/>
          <w:shd w:val="solid" w:color="00FFFF" w:fill="FF0000"/>
        </w:rPr>
        <w:t>{{SISTEMA_IRREGULAR|sistema de distribución irregular}}</w:t>
      </w:r>
      <w:r>
        <w:t xml:space="preserve">, los días y horas de referencia en que puede exigirse prestación son </w:t>
      </w:r>
      <w:r>
        <w:rPr>
          <w:b/>
          <w:bCs/>
          <w:shd w:val="solid" w:color="00FFFF" w:fill="FF0000"/>
        </w:rPr>
        <w:t>{{DIAS_FRANJAS|días y franjas de referencia}}</w:t>
      </w:r>
      <w:r>
        <w:t xml:space="preserve">, el preaviso mínimo para iniciar una tarea es </w:t>
      </w:r>
      <w:r>
        <w:rPr>
          <w:b/>
          <w:bCs/>
          <w:shd w:val="solid" w:color="00FFFF" w:fill="FF0000"/>
        </w:rPr>
        <w:t>{{PREAVISO_INICIO|preaviso mínimo para iniciar una tarea}}</w:t>
      </w:r>
      <w:r>
        <w:t xml:space="preserve"> y el de su cancelación es </w:t>
      </w:r>
      <w:r>
        <w:rPr>
          <w:b/>
          <w:bCs/>
          <w:shd w:val="solid" w:color="00FFFF" w:fill="FF0000"/>
        </w:rPr>
        <w:t>{{PREAVISO_CANCELACION|preaviso para cancelar una tarea}}</w:t>
      </w:r>
      <w:r>
        <w:t xml:space="preserve">. Se respetarán los límites y condiciones del artículo 47 del convenio y el procedimiento concretado en la estipulación siguiente. Esta información individualizada responde al artículo 3.2.g) del Real Decreto 723/2026. </w:t>
      </w:r>
    </w:p>
    <w:p w14:paraId="59179B8A" w14:textId="77777777" w:rsidR="003A67AA" w:rsidRDefault="0098128B">
      <w:r>
        <w:rPr>
          <w:b/>
          <w:bCs/>
          <w:color w:val="0066CC"/>
        </w:rPr>
        <w:t>6.- Cambios de jornada y horas extraordinarias</w:t>
      </w:r>
    </w:p>
    <w:p w14:paraId="79B6D924" w14:textId="77777777" w:rsidR="003A67AA" w:rsidRDefault="0098128B">
      <w:r>
        <w:t xml:space="preserve">Los supuestos en que puede alterarse la distribución ordinaria, el horario o el turno son </w:t>
      </w:r>
      <w:r>
        <w:rPr>
          <w:b/>
          <w:bCs/>
          <w:shd w:val="solid" w:color="00FFFF" w:fill="FF0000"/>
        </w:rPr>
        <w:t>{{SUPUESTOS_CAMBIO|supuestos en que puede alterarse la distribución, horario o turno}}</w:t>
      </w:r>
      <w:r>
        <w:t xml:space="preserve">. La comunicación se realizará mediante </w:t>
      </w:r>
      <w:r>
        <w:rPr>
          <w:b/>
          <w:bCs/>
          <w:shd w:val="solid" w:color="00FFFF" w:fill="FF0000"/>
        </w:rPr>
        <w:t>{{MEDIO_COMUNICACION|medio individual de comunicación}}</w:t>
      </w:r>
      <w:r>
        <w:t xml:space="preserve"> y con el preaviso </w:t>
      </w:r>
      <w:r>
        <w:rPr>
          <w:b/>
          <w:bCs/>
          <w:shd w:val="solid" w:color="00FFFF" w:fill="FF0000"/>
        </w:rPr>
        <w:t>{{PREAVISO_CAMBIO|preaviso de los cambios}}</w:t>
      </w:r>
      <w:r>
        <w:t>, observando, según el cambio, los artículos 46 y 47 del convenio y los procedimientos legales correspondientes. La identificación de estos supuestos no atribuye a la empresa una facultad de modificación distinta de la prevista legal o convencionalmente.</w:t>
      </w:r>
    </w:p>
    <w:p w14:paraId="76B53C60" w14:textId="77777777" w:rsidR="003A67AA" w:rsidRDefault="0098128B">
      <w:r>
        <w:t xml:space="preserve">Las horas extraordinarias se realizarán en las condiciones de </w:t>
      </w:r>
      <w:r>
        <w:rPr>
          <w:b/>
          <w:bCs/>
          <w:shd w:val="solid" w:color="00FFFF" w:fill="FF0000"/>
        </w:rPr>
        <w:t>{{PACTO_HORAS_EXTRA|acuerdo individual sobre horas extraordinarias (o «no existe»)}}</w:t>
      </w:r>
      <w:r>
        <w:t xml:space="preserve">. El artículo 42 del convenio prevé un </w:t>
      </w:r>
      <w:r>
        <w:rPr>
          <w:b/>
          <w:bCs/>
        </w:rPr>
        <w:t>incremento del 100 %</w:t>
      </w:r>
      <w:r>
        <w:t xml:space="preserve"> para las horas que regula y permite, por acuerdo entre empresa y persona trabajadora, compensar cada hora por </w:t>
      </w:r>
      <w:r>
        <w:rPr>
          <w:b/>
          <w:bCs/>
        </w:rPr>
        <w:t>una hora y cuarenta y cinco minutos de tiempo libre</w:t>
      </w:r>
      <w:r>
        <w:t xml:space="preserve">. Para determinar su importe se aplicará la fórmula del artículo 47.4 del convenio cuando proceda. Se informan así los extremos previstos en el artículo 3.2.g) del Real Decreto 723/2026. </w:t>
      </w:r>
    </w:p>
    <w:p w14:paraId="21DA2A49" w14:textId="77777777" w:rsidR="003A67AA" w:rsidRDefault="0098128B">
      <w:r>
        <w:rPr>
          <w:b/>
          <w:bCs/>
          <w:color w:val="0066CC"/>
        </w:rPr>
        <w:t>7.- Vacaciones y período de prueba</w:t>
      </w:r>
    </w:p>
    <w:p w14:paraId="4994EC4A" w14:textId="77777777" w:rsidR="003A67AA" w:rsidRDefault="0098128B">
      <w:r>
        <w:t xml:space="preserve">Las vacaciones anuales son de </w:t>
      </w:r>
      <w:r>
        <w:rPr>
          <w:b/>
          <w:bCs/>
        </w:rPr>
        <w:t>24 días laborables</w:t>
      </w:r>
      <w:r>
        <w:t xml:space="preserve">, de conformidad con el artículo 48 del convenio, sin perjuicio de las condiciones más beneficiosas aplicables. Su período o períodos de disfrute se fijarán mediante </w:t>
      </w:r>
      <w:r>
        <w:rPr>
          <w:b/>
          <w:bCs/>
          <w:shd w:val="solid" w:color="00FFFF" w:fill="FF0000"/>
        </w:rPr>
        <w:t>{{PROCEDIMIENTO_VACACIONES|procedimiento de solicitud, acuerdo y calendario de vacaciones}}</w:t>
      </w:r>
      <w:r>
        <w:t>.</w:t>
      </w:r>
    </w:p>
    <w:p w14:paraId="7139AE71" w14:textId="77777777" w:rsidR="003A67AA" w:rsidRDefault="0098128B">
      <w:r>
        <w:t xml:space="preserve">Respecto del período de prueba, </w:t>
      </w:r>
      <w:r>
        <w:rPr>
          <w:b/>
          <w:bCs/>
          <w:shd w:val="solid" w:color="00FFFF" w:fill="FF0000"/>
        </w:rPr>
        <w:t>{{PERIODO_PRUEBA|período de prueba: «no se ha pactado» o duración pactada por escrito}}</w:t>
      </w:r>
      <w:r>
        <w:t xml:space="preserve">. Si existe, su objeto comprende </w:t>
      </w:r>
      <w:r>
        <w:rPr>
          <w:b/>
          <w:bCs/>
          <w:shd w:val="solid" w:color="00FFFF" w:fill="FF0000"/>
        </w:rPr>
        <w:t>{{OBJETO_PRUEBA|experiencias o funciones objeto de evaluación}}</w:t>
      </w:r>
      <w:r>
        <w:t xml:space="preserve">; la empresa facilitará </w:t>
      </w:r>
      <w:r>
        <w:rPr>
          <w:b/>
          <w:bCs/>
          <w:shd w:val="solid" w:color="00FFFF" w:fill="FF0000"/>
        </w:rPr>
        <w:t>{{MEDIOS_PRUEBA|medios y supervisión de la empresa durante la prueba}}</w:t>
      </w:r>
      <w:r>
        <w:t xml:space="preserve"> y la persona trabajadora realizará </w:t>
      </w:r>
      <w:r>
        <w:rPr>
          <w:b/>
          <w:bCs/>
          <w:shd w:val="solid" w:color="00FFFF" w:fill="FF0000"/>
        </w:rPr>
        <w:t>{{EXPERIENCIAS_PRUEBA|experiencias que realizará la persona trabajadora}}</w:t>
      </w:r>
      <w:r>
        <w:t xml:space="preserve">. La duración se ajustará al grupo y modalidad contractual correspondientes y a los artículos 13, 14 y 17 del convenio. Esta información se facilita conforme al artículo 3.2.g) y h) del Real Decreto 723/2026. </w:t>
      </w:r>
    </w:p>
    <w:p w14:paraId="4CE623E7" w14:textId="77777777" w:rsidR="003A67AA" w:rsidRDefault="0098128B">
      <w:r>
        <w:rPr>
          <w:b/>
          <w:bCs/>
          <w:color w:val="0066CC"/>
        </w:rPr>
        <w:t>8.- Formación y cesión por empresa de trabajo temporal</w:t>
      </w:r>
    </w:p>
    <w:p w14:paraId="33FC42B0" w14:textId="77777777" w:rsidR="003A67AA" w:rsidRDefault="0098128B">
      <w:r>
        <w:t xml:space="preserve">La formación que la empresa proporcionará a la persona trabajadora, incluidos los derechos formativos que resulten aplicables, se concreta en </w:t>
      </w:r>
      <w:r>
        <w:rPr>
          <w:b/>
          <w:bCs/>
          <w:shd w:val="solid" w:color="00FFFF" w:fill="FF0000"/>
        </w:rPr>
        <w:t>{{FORMACION|acciones formativas, requisitos, tiempo y procedimiento de solicitud}}</w:t>
      </w:r>
      <w:r>
        <w:t>. En lo que proceda se estará a la regulación de formación a la que remiten los artículos 67 y 70 del convenio provincial.</w:t>
      </w:r>
    </w:p>
    <w:p w14:paraId="6F9737BF" w14:textId="77777777" w:rsidR="003A67AA" w:rsidRDefault="0098128B">
      <w:r>
        <w:t xml:space="preserve">Si la persona trabajadora es cedida por una empresa de trabajo temporal, la empresa usuaria es </w:t>
      </w:r>
      <w:r>
        <w:rPr>
          <w:b/>
          <w:bCs/>
          <w:shd w:val="solid" w:color="00FFFF" w:fill="FF0000"/>
        </w:rPr>
        <w:t>{{ETT_EMPRESA_USUARIA|empresa usuaria, si hay cesión por ETT}}</w:t>
      </w:r>
      <w:r>
        <w:t xml:space="preserve"> y la causa que habilita cada contrato de puesta a disposición es </w:t>
      </w:r>
      <w:r>
        <w:rPr>
          <w:b/>
          <w:bCs/>
          <w:shd w:val="solid" w:color="00FFFF" w:fill="FF0000"/>
        </w:rPr>
        <w:t>{{ETT_CAUSA|causa y circunstancias de cada puesta a disposición}}</w:t>
      </w:r>
      <w:r>
        <w:t xml:space="preserve">. En otro caso, esta cesión </w:t>
      </w:r>
      <w:r>
        <w:rPr>
          <w:b/>
          <w:bCs/>
          <w:shd w:val="solid" w:color="00FFFF" w:fill="FF0000"/>
        </w:rPr>
        <w:t>no procede</w:t>
      </w:r>
      <w:r>
        <w:t xml:space="preserve">. Se cumplimenta así el artículo 3.2.i) y j) del Real Decreto 723/2026. </w:t>
      </w:r>
    </w:p>
    <w:p w14:paraId="1742841D" w14:textId="77777777" w:rsidR="003A67AA" w:rsidRDefault="0098128B">
      <w:r>
        <w:rPr>
          <w:b/>
          <w:bCs/>
          <w:color w:val="0066CC"/>
        </w:rPr>
        <w:t>9.- Sistemas automatizados e igualdad</w:t>
      </w:r>
    </w:p>
    <w:p w14:paraId="6DD30B66" w14:textId="77777777" w:rsidR="003A67AA" w:rsidRDefault="0098128B">
      <w:r>
        <w:t xml:space="preserve">En relación con decisiones sobre jornada, asignación de tareas, salario, progresión profesional, lugar de trabajo o extinción, la empresa </w:t>
      </w:r>
      <w:r>
        <w:rPr>
          <w:b/>
          <w:bCs/>
          <w:shd w:val="solid" w:color="00FFFF" w:fill="FF0000"/>
        </w:rPr>
        <w:t>{{SISTEMAS_AUTOMATIZADOS|sistemas automatizados: «no utiliza…» o identificación de cada uno}}</w:t>
      </w:r>
      <w:r>
        <w:t xml:space="preserve">. Si los utiliza, sus pautas, criterios y reglas de funcionamiento relevantes para tales decisiones son </w:t>
      </w:r>
      <w:r>
        <w:rPr>
          <w:b/>
          <w:bCs/>
          <w:shd w:val="solid" w:color="00FFFF" w:fill="FF0000"/>
        </w:rPr>
        <w:t>{{SISTEMAS_DESCRIPCION|pautas y reglas de funcionamiento de cada sistema}}</w:t>
      </w:r>
      <w:r>
        <w:t>.</w:t>
      </w:r>
    </w:p>
    <w:p w14:paraId="5469311A" w14:textId="77777777" w:rsidR="003A67AA" w:rsidRDefault="0098128B">
      <w:r>
        <w:t xml:space="preserve">El plan de igualdad aplicable es </w:t>
      </w:r>
      <w:r>
        <w:rPr>
          <w:b/>
          <w:bCs/>
          <w:shd w:val="solid" w:color="00FFFF" w:fill="FF0000"/>
        </w:rPr>
        <w:t>{{PLAN_IGUALDAD|plan de igualdad aplicable}}</w:t>
      </w:r>
      <w:r>
        <w:t xml:space="preserve">. La política empresarial de conciliación que desarrolla los mínimos legales es </w:t>
      </w:r>
      <w:r>
        <w:rPr>
          <w:b/>
          <w:bCs/>
          <w:shd w:val="solid" w:color="00FFFF" w:fill="FF0000"/>
        </w:rPr>
        <w:t>{{POLITICA_CONCILIACION|política de conciliación y medio de acceso}}</w:t>
      </w:r>
      <w:r>
        <w:t xml:space="preserve">. El protocolo frente al acoso sexual y por razón de sexo es </w:t>
      </w:r>
      <w:r>
        <w:rPr>
          <w:b/>
          <w:bCs/>
          <w:shd w:val="solid" w:color="00FFFF" w:fill="FF0000"/>
        </w:rPr>
        <w:t>{{PROTOCOLO_ACOSO|protocolo frente al acoso y medio de acceso}}</w:t>
      </w:r>
      <w:r>
        <w:t xml:space="preserve">. El conjunto planificado de medidas y recursos para la igualdad real y efectiva de las personas LGTBI es </w:t>
      </w:r>
      <w:r>
        <w:rPr>
          <w:b/>
          <w:bCs/>
          <w:shd w:val="solid" w:color="00FFFF" w:fill="FF0000"/>
        </w:rPr>
        <w:t>{{MEDIDAS_LGTBI|medidas para la igualdad de las personas LGTBI y medio de acceso}}</w:t>
      </w:r>
      <w:r>
        <w:t>. Estos datos se individualizan de acuerdo con el artículo 3.2.k), l) y m) del Real Decreto 723/2</w:t>
      </w:r>
      <w:r>
        <w:t xml:space="preserve">026. </w:t>
      </w:r>
    </w:p>
    <w:p w14:paraId="628DA5C2" w14:textId="77777777" w:rsidR="003A67AA" w:rsidRDefault="0098128B">
      <w:r>
        <w:rPr>
          <w:b/>
          <w:bCs/>
          <w:color w:val="0066CC"/>
        </w:rPr>
        <w:t>10.- Seguridad Social y protección complementaria</w:t>
      </w:r>
    </w:p>
    <w:p w14:paraId="6F1CF238" w14:textId="77777777" w:rsidR="003A67AA" w:rsidRDefault="0098128B">
      <w:r>
        <w:t xml:space="preserve">El sistema de colaboración en la gestión de la Seguridad Social aplicable en la empresa es </w:t>
      </w:r>
      <w:r>
        <w:rPr>
          <w:b/>
          <w:bCs/>
          <w:shd w:val="solid" w:color="00FFFF" w:fill="FF0000"/>
        </w:rPr>
        <w:t>{{SISTEMA_SS|sistema de colaboración en la gestión de la Seguridad Social}}</w:t>
      </w:r>
      <w:r>
        <w:t xml:space="preserve">. La entidad gestora o colaboradora elegida para la cobertura de cada contingencia o prestación es </w:t>
      </w:r>
      <w:r>
        <w:rPr>
          <w:b/>
          <w:bCs/>
          <w:shd w:val="solid" w:color="00FFFF" w:fill="FF0000"/>
        </w:rPr>
        <w:t>{{ENTIDAD_COBERTURA|entidad gestora o colaboradora y cobertura de cada contingencia}}</w:t>
      </w:r>
      <w:r>
        <w:t xml:space="preserve">. La colaboración directa de la empresa es </w:t>
      </w:r>
      <w:r>
        <w:rPr>
          <w:b/>
          <w:bCs/>
          <w:shd w:val="solid" w:color="00FFFF" w:fill="FF0000"/>
        </w:rPr>
        <w:t>{{COLABORACION_DIRECTA|colaboración directa de la empresa (o «no existe»)}}</w:t>
      </w:r>
      <w:r>
        <w:t xml:space="preserve">. Las mejoras voluntarias de la acción protectora son </w:t>
      </w:r>
      <w:r>
        <w:rPr>
          <w:b/>
          <w:bCs/>
          <w:shd w:val="solid" w:color="00FFFF" w:fill="FF0000"/>
        </w:rPr>
        <w:t>{{MEJORAS_VOLUNTARIAS|mejoras voluntarias de la acción protectora (o «no existen»)}}</w:t>
      </w:r>
      <w:r>
        <w:t xml:space="preserve">. Los planes y fondos de pensiones promovidos en favor de las personas trabajadoras son </w:t>
      </w:r>
      <w:r>
        <w:rPr>
          <w:b/>
          <w:bCs/>
          <w:shd w:val="solid" w:color="00FFFF" w:fill="FF0000"/>
        </w:rPr>
        <w:t>{{PLANES_PENSIONES|planes y fondos de pensiones (o «no existen»)}}</w:t>
      </w:r>
      <w:r>
        <w:t xml:space="preserve">, con aportaciones de </w:t>
      </w:r>
      <w:r>
        <w:rPr>
          <w:b/>
          <w:bCs/>
          <w:shd w:val="solid" w:color="00FFFF" w:fill="FF0000"/>
        </w:rPr>
        <w:t>{{APORTACIONES_PENSIONES|aportaciones a planes de pensiones, si procede}}</w:t>
      </w:r>
      <w:r>
        <w:t xml:space="preserve">. Se facilita esta información de conformidad con el artículo 3.2.p) del Real Decreto 723/2026. </w:t>
      </w:r>
    </w:p>
    <w:p w14:paraId="44853A04" w14:textId="77777777" w:rsidR="003A67AA" w:rsidRDefault="0098128B">
      <w:r>
        <w:rPr>
          <w:b/>
          <w:bCs/>
          <w:color w:val="0066CC"/>
        </w:rPr>
        <w:t>11.- Extinción y preavisos</w:t>
      </w:r>
    </w:p>
    <w:p w14:paraId="460F860B" w14:textId="77777777" w:rsidR="003A67AA" w:rsidRDefault="0098128B">
      <w:r>
        <w:t xml:space="preserve">La extinción del contrato se comunicará conforme al procedimiento y los requisitos formales que correspondan a su causa concreta: </w:t>
      </w:r>
      <w:r>
        <w:rPr>
          <w:b/>
          <w:bCs/>
          <w:shd w:val="solid" w:color="00FFFF" w:fill="FF0000"/>
        </w:rPr>
        <w:t>{{PROCEDIMIENTO_EXTINCION|procedimiento y medio de comunicación de la extinción}}</w:t>
      </w:r>
      <w:r>
        <w:t xml:space="preserve">. El artículo 24 del convenio establece la comunicación escrita del cese por la empresa con </w:t>
      </w:r>
      <w:r>
        <w:rPr>
          <w:b/>
          <w:bCs/>
        </w:rPr>
        <w:t>15 días naturales</w:t>
      </w:r>
      <w:r>
        <w:t xml:space="preserve"> de antelación y extiende el preaviso a la persona trabajadora; prevé asimismo la sustitución del preaviso empresarial omitido por la cantidad que indica ese artículo. Para los restantes supuestos de extinción se aplicarán los requisitos y preavisos que correspondan a cada causa, que se concretan para esta relación en</w:t>
      </w:r>
      <w:r>
        <w:t xml:space="preserve"> </w:t>
      </w:r>
      <w:r>
        <w:rPr>
          <w:b/>
          <w:bCs/>
          <w:shd w:val="solid" w:color="00FFFF" w:fill="FF0000"/>
        </w:rPr>
        <w:t>{{EXTINCION_SUPUESTOS|supuestos específicos de extinción, plazos o modalidad}}</w:t>
      </w:r>
      <w:r>
        <w:t xml:space="preserve">. Se informa de ello conforme al artículo 3.2.n) del Real Decreto 723/2026. </w:t>
      </w:r>
    </w:p>
    <w:p w14:paraId="5C961EA0" w14:textId="77777777" w:rsidR="003A67AA" w:rsidRDefault="0098128B">
      <w:r>
        <w:rPr>
          <w:b/>
          <w:bCs/>
          <w:color w:val="0066CC"/>
        </w:rPr>
        <w:t>12.- Modificación de condiciones y entrega del anexo</w:t>
      </w:r>
    </w:p>
    <w:p w14:paraId="0621B6AC" w14:textId="77777777" w:rsidR="003A67AA" w:rsidRDefault="0098128B">
      <w:r>
        <w:t xml:space="preserve">Las funciones, la clasificación, la retribución y el tiempo de trabajo podrán modificarse únicamente en los supuestos y mediante los procedimientos legales, convencionales o pactados que resulten aplicables a cada materia. En esta relación se identifican especialmente </w:t>
      </w:r>
      <w:r>
        <w:rPr>
          <w:b/>
          <w:bCs/>
          <w:shd w:val="solid" w:color="00FFFF" w:fill="FF0000"/>
        </w:rPr>
        <w:t>{{SUPUESTOS_MODIFICACION|supuestos previsibles de modificación}}</w:t>
      </w:r>
      <w:r>
        <w:t xml:space="preserve"> y los correspondientes procedimientos </w:t>
      </w:r>
      <w:r>
        <w:rPr>
          <w:b/>
          <w:bCs/>
          <w:shd w:val="solid" w:color="00FFFF" w:fill="FF0000"/>
        </w:rPr>
        <w:t>{{PROCEDIMIENTO_MODIFICACION|procedimiento y comunicación de cada supuesto}}</w:t>
      </w:r>
      <w:r>
        <w:t>. Las modificaciones de los elementos informados se comunicarán por escrito lo antes posible y, a más tardar, el día en que surtan efecto, con la excepción prevista en el artículo 5.2 del Real Decreto 723/2026 para los cambios normativos o convencionales allí descritos.</w:t>
      </w:r>
    </w:p>
    <w:p w14:paraId="56699017" w14:textId="77777777" w:rsidR="003A67AA" w:rsidRDefault="0098128B">
      <w:r>
        <w:t xml:space="preserve">La empresa entrega a la persona trabajadora un ejemplar de este anexo en </w:t>
      </w:r>
      <w:r>
        <w:rPr>
          <w:b/>
          <w:bCs/>
          <w:shd w:val="solid" w:color="00FFFF" w:fill="FF0000"/>
        </w:rPr>
        <w:t>{{FORMATO_ENTREGA|formato de entrega: papel o electrónico}}</w:t>
      </w:r>
      <w:r>
        <w:t xml:space="preserve">, por </w:t>
      </w:r>
      <w:r>
        <w:rPr>
          <w:b/>
          <w:bCs/>
          <w:shd w:val="solid" w:color="00FFFF" w:fill="FF0000"/>
        </w:rPr>
        <w:t>{{MEDIO_ENTREGA|medio de entrega}}</w:t>
      </w:r>
      <w:r>
        <w:t xml:space="preserve">, y conserva constancia de su transmisión o recepción. Su fecha de entrega es </w:t>
      </w:r>
      <w:r>
        <w:rPr>
          <w:b/>
          <w:bCs/>
          <w:shd w:val="solid" w:color="00FFFF" w:fill="FF0000"/>
        </w:rPr>
        <w:t>{{FECHA_ENTREGA|fecha de entrega}}</w:t>
      </w:r>
      <w:r>
        <w:t xml:space="preserve">. La firma acredita la entrega y el conocimiento de la información, sin sustituir los acuerdos individuales exigibles ni los procedimientos aplicables para modificar el contrato. </w:t>
      </w:r>
      <w:r>
        <w:t xml:space="preserve"> </w:t>
      </w:r>
      <w:r>
        <w:t xml:space="preserve"> </w:t>
      </w:r>
      <w:r>
        <w:t xml:space="preserve"> </w:t>
      </w:r>
    </w:p>
    <w:p w14:paraId="2AC9B79F" w14:textId="77777777" w:rsidR="003A67AA" w:rsidRDefault="0098128B">
      <w:r>
        <w:t>FIRMA</w:t>
      </w:r>
    </w:p>
    <w:p w14:paraId="17960C81" w14:textId="77777777" w:rsidR="003A67AA" w:rsidRDefault="0098128B">
      <w:r>
        <w:t xml:space="preserve">En </w:t>
      </w:r>
      <w:r>
        <w:rPr>
          <w:b/>
          <w:bCs/>
          <w:shd w:val="solid" w:color="00FFFF" w:fill="FF0000"/>
        </w:rPr>
        <w:t>{{LOCALIDAD|localidad de la firma}}</w:t>
      </w:r>
      <w:r>
        <w:t xml:space="preserve">, a </w:t>
      </w:r>
      <w:r>
        <w:rPr>
          <w:b/>
          <w:bCs/>
          <w:shd w:val="solid" w:color="00FFFF" w:fill="FF0000"/>
        </w:rPr>
        <w:t>{{FECHA_FIRMA|fecha de la firma}}</w:t>
      </w:r>
      <w:r>
        <w:t>.</w:t>
      </w:r>
    </w:p>
    <w:p w14:paraId="726A7E1D" w14:textId="77777777" w:rsidR="003A67AA" w:rsidRDefault="0098128B">
      <w:r>
        <w:t xml:space="preserve">Por la empresa: </w:t>
      </w:r>
      <w:r>
        <w:rPr>
          <w:b/>
          <w:bCs/>
          <w:shd w:val="solid" w:color="00FFFF" w:fill="FF0000"/>
        </w:rPr>
        <w:t>{{REPRESENTANTE|nombre y cargo de quien firma por la empresa}}</w:t>
      </w:r>
    </w:p>
    <w:p w14:paraId="7A7502C9" w14:textId="77777777" w:rsidR="003A67AA" w:rsidRDefault="0098128B">
      <w:r>
        <w:t xml:space="preserve">La persona trabajadora: </w:t>
      </w:r>
      <w:r>
        <w:rPr>
          <w:b/>
          <w:bCs/>
          <w:shd w:val="solid" w:color="00FFFF" w:fill="FF0000"/>
        </w:rPr>
        <w:t>{{NOMBRE|nombre y apellidos de la persona trabajadora}}</w:t>
      </w:r>
    </w:p>
    <w:sectPr w:rsidR="003A67A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D47FF"/>
    <w:multiLevelType w:val="hybridMultilevel"/>
    <w:tmpl w:val="69E6F71C"/>
    <w:lvl w:ilvl="0" w:tplc="B3F2B9B8" w:tentative="1">
      <w:start w:val="1"/>
      <w:numFmt w:val="bullet"/>
      <w:lvlText w:val="●"/>
      <w:lvlJc w:val="left"/>
      <w:pPr>
        <w:ind w:left="720" w:hanging="360"/>
      </w:pPr>
    </w:lvl>
    <w:lvl w:ilvl="1" w:tplc="65FE1D98" w:tentative="1">
      <w:start w:val="1"/>
      <w:numFmt w:val="bullet"/>
      <w:lvlText w:val="○"/>
      <w:lvlJc w:val="left"/>
      <w:pPr>
        <w:ind w:left="1440" w:hanging="360"/>
      </w:pPr>
    </w:lvl>
    <w:lvl w:ilvl="2" w:tplc="D896974C" w:tentative="1">
      <w:start w:val="1"/>
      <w:numFmt w:val="bullet"/>
      <w:lvlText w:val="■"/>
      <w:lvlJc w:val="left"/>
      <w:pPr>
        <w:ind w:left="2160" w:hanging="360"/>
      </w:pPr>
    </w:lvl>
    <w:lvl w:ilvl="3" w:tplc="D5E41446" w:tentative="1">
      <w:start w:val="1"/>
      <w:numFmt w:val="bullet"/>
      <w:lvlText w:val="●"/>
      <w:lvlJc w:val="left"/>
      <w:pPr>
        <w:ind w:left="2880" w:hanging="360"/>
      </w:pPr>
    </w:lvl>
    <w:lvl w:ilvl="4" w:tplc="25EC3ADC" w:tentative="1">
      <w:start w:val="1"/>
      <w:numFmt w:val="bullet"/>
      <w:lvlText w:val="○"/>
      <w:lvlJc w:val="left"/>
      <w:pPr>
        <w:ind w:left="3600" w:hanging="360"/>
      </w:pPr>
    </w:lvl>
    <w:lvl w:ilvl="5" w:tplc="6192B228" w:tentative="1">
      <w:start w:val="1"/>
      <w:numFmt w:val="bullet"/>
      <w:lvlText w:val="■"/>
      <w:lvlJc w:val="left"/>
      <w:pPr>
        <w:ind w:left="4320" w:hanging="360"/>
      </w:pPr>
    </w:lvl>
    <w:lvl w:ilvl="6" w:tplc="1DD8658C" w:tentative="1">
      <w:start w:val="1"/>
      <w:numFmt w:val="bullet"/>
      <w:lvlText w:val="●"/>
      <w:lvlJc w:val="left"/>
      <w:pPr>
        <w:ind w:left="5040" w:hanging="360"/>
      </w:pPr>
    </w:lvl>
    <w:lvl w:ilvl="7" w:tplc="05AE345A" w:tentative="1">
      <w:start w:val="1"/>
      <w:numFmt w:val="bullet"/>
      <w:lvlText w:val="●"/>
      <w:lvlJc w:val="left"/>
      <w:pPr>
        <w:ind w:left="5760" w:hanging="360"/>
      </w:pPr>
    </w:lvl>
    <w:lvl w:ilvl="8" w:tplc="E58A5FF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95572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3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7AA"/>
    <w:rsid w:val="001E1F4D"/>
    <w:rsid w:val="003A67AA"/>
    <w:rsid w:val="0098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606CA"/>
  <w15:docId w15:val="{B9A99D88-C518-4A27-B1EA-6043F3181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8"/>
        <w:szCs w:val="28"/>
        <w:lang w:val="es-ES" w:eastAsia="es-ES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online.elderecho.com/login.do?nref=2026/14473&amp;anchor=ART.5&amp;producto_inicial=*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nline.elderecho.com/login.do?nref=2016/900129&amp;marginal=8253&amp;producto_inicial=*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.elderecho.com/login.do?nref=2011/900044&amp;marginal=1613&amp;producto_inicial=*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nline.elderecho.com/login.do?nref=2026/14473&amp;anchor=ART.3&amp;producto_inicial=*" TargetMode="External"/><Relationship Id="rId10" Type="http://schemas.openxmlformats.org/officeDocument/2006/relationships/hyperlink" Target="https://online.elderecho.com/login.do?nref=2026/14473&amp;anchor=ART.8&amp;producto_inicial=*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line.elderecho.com/login.do?nref=2026/14473&amp;anchor=ART.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2406</Words>
  <Characters>13234</Characters>
  <Application>Microsoft Office Word</Application>
  <DocSecurity>0</DocSecurity>
  <Lines>110</Lines>
  <Paragraphs>31</Paragraphs>
  <ScaleCrop>false</ScaleCrop>
  <Company/>
  <LinksUpToDate>false</LinksUpToDate>
  <CharactersWithSpaces>15609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Ángeles Ramiro Gutiérrez</cp:lastModifiedBy>
  <cp:revision>2</cp:revision>
  <dcterms:created xsi:type="dcterms:W3CDTF">2026-10-09T11:26:00Z</dcterms:created>
  <dcterms:modified xsi:type="dcterms:W3CDTF">2026-10-09T11:46:00Z</dcterms:modified>
</cp:coreProperties>
</file>