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L+B Hospitality Group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Business Model Specification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Financial Model Development Guide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1Q26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</w:p>
    <w:p>
      <w:r>
        <w:rPr>
          <w:sz w:val="22"/>
          <w:szCs w:val="22"/>
        </w:rPr>
        <w:t xml:space="preserve">Part One: L+B Hospitality Co. (Management Company)</w:t>
      </w:r>
    </w:p>
    <w:p>
      <w:r>
        <w:rPr>
          <w:sz w:val="22"/>
          <w:szCs w:val="22"/>
        </w:rPr>
        <w:t xml:space="preserve">Part Two: Property Portfolio (SPV Structure)</w:t>
      </w:r>
    </w:p>
    <w:p>
      <w:r>
        <w:rPr>
          <w:sz w:val="22"/>
          <w:szCs w:val="22"/>
        </w:rPr>
        <w:t xml:space="preserve">Part Three: Financial Statement Requirements</w:t>
      </w:r>
    </w:p>
    <w:p>
      <w:r>
        <w:rPr>
          <w:sz w:val="22"/>
          <w:szCs w:val="22"/>
        </w:rPr>
        <w:t xml:space="preserve">Part Four: Complete Variable List for Excel Model</w:t>
      </w:r>
    </w:p>
    <w:p>
      <w:r>
        <w:rPr>
          <w:sz w:val="22"/>
          <w:szCs w:val="22"/>
        </w:rPr>
        <w:t xml:space="preserve">Appendix A: Capital Structure Details</w:t>
      </w:r>
    </w:p>
    <w:p>
      <w:r>
        <w:rPr>
          <w:sz w:val="22"/>
          <w:szCs w:val="22"/>
        </w:rPr>
        <w:t xml:space="preserve">Appendix B: Market Research and Benchmarks</w:t>
      </w:r>
    </w:p>
    <w:p>
      <w:r>
        <w:br w:type="page"/>
      </w:r>
    </w:p>
    <w:p>
      <w:pPr>
        <w:pStyle w:val="Heading1"/>
      </w:pPr>
      <w:r>
        <w:t xml:space="preserve">Part One: L+B Hospitality Co.</w:t>
      </w:r>
    </w:p>
    <w:p>
      <w:pPr>
        <w:pStyle w:val="Heading2"/>
      </w:pPr>
      <w:r>
        <w:t xml:space="preserve">Entity Overview</w:t>
      </w:r>
    </w:p>
    <w:p>
      <w:pPr>
        <w:spacing w:after="200"/>
      </w:pPr>
      <w:r>
        <w:t xml:space="preserve">L+B Hospitality Co. is a hospitality management organization serving boutique hotels (fewer than 100 rooms) and bed-and-breakfast establishments across North America and Latin America. The company provides comprehensive management services to its owned portfolio of properties as well as third-party clients.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Start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1, 2026 (Q1 2026)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Commence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Client Capacity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properties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Capital Requirement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$450,000 (via SAFE)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America, Latin America</w:t>
            </w:r>
          </w:p>
        </w:tc>
      </w:tr>
    </w:tbl>
    <w:p>
      <w:pPr>
        <w:pStyle w:val="Heading2"/>
        <w:spacing w:before="400"/>
      </w:pPr>
      <w:r>
        <w:t xml:space="preserve">Organizational Structure</w:t>
      </w:r>
    </w:p>
    <w:p>
      <w:pPr>
        <w:spacing w:after="200"/>
      </w:pPr>
      <w:r>
        <w:t xml:space="preserve">The organization is led by three partners supported by a scalable staff structure that grows with the client portfolio. Partners begin drawing salary from Day 1 (model start date).</w:t>
      </w:r>
    </w:p>
    <w:p>
      <w:pPr>
        <w:pStyle w:val="Heading3"/>
      </w:pPr>
      <w:r>
        <w:t xml:space="preserve">Leadership</w:t>
      </w:r>
    </w:p>
    <w:p>
      <w:pPr>
        <w:pStyle w:val="ListParagraph"/>
        <w:numPr>
          <w:ilvl w:val="0"/>
          <w:numId w:val="2"/>
        </w:numPr>
      </w:pPr>
      <w:r>
        <w:t xml:space="preserve">Managing Partner</w:t>
      </w:r>
    </w:p>
    <w:p>
      <w:pPr>
        <w:pStyle w:val="ListParagraph"/>
        <w:numPr>
          <w:ilvl w:val="0"/>
          <w:numId w:val="2"/>
        </w:numPr>
      </w:pPr>
      <w:r>
        <w:t xml:space="preserve">Partner, Operations &amp; Guest Experience</w:t>
      </w:r>
    </w:p>
    <w:p>
      <w:pPr>
        <w:pStyle w:val="ListParagraph"/>
        <w:numPr>
          <w:ilvl w:val="0"/>
          <w:numId w:val="2"/>
        </w:numPr>
      </w:pPr>
      <w:r>
        <w:t xml:space="preserve">Partner, Finance &amp; Administration</w:t>
      </w:r>
    </w:p>
    <w:p>
      <w:pPr>
        <w:pStyle w:val="Heading3"/>
        <w:spacing w:before="200"/>
      </w:pPr>
      <w:r>
        <w:t xml:space="preserve">Staff Scaling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FTEs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FTEs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</w:tbl>
    <w:p>
      <w:pPr>
        <w:pStyle w:val="Heading2"/>
        <w:spacing w:before="400"/>
      </w:pPr>
      <w:r>
        <w:t xml:space="preserve">SAFE Funding Tranches</w:t>
      </w:r>
    </w:p>
    <w:p>
      <w:pPr>
        <w:spacing w:after="100"/>
      </w:pPr>
      <w:r>
        <w:t xml:space="preserve">SAFE funding is released in tranches to support at least 12 months of operations at each stage: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operations, partner salaries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1, 2027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Continued operations, staff expansion</w:t>
            </w:r>
          </w:p>
        </w:tc>
      </w:tr>
    </w:tbl>
    <w:p>
      <w:pPr>
        <w:pStyle w:val="Heading2"/>
        <w:spacing w:before="400"/>
      </w:pPr>
      <w:r>
        <w:t xml:space="preserve">Revenue Model</w:t>
      </w:r>
    </w:p>
    <w:p>
      <w:pPr>
        <w:spacing w:after="200"/>
      </w:pPr>
      <w:r>
        <w:t xml:space="preserve">L+B Hospitality Co. earns management fees through a two-part structure aligned with industry standards: a base fee calculated on gross revenue plus an incentive fee tied to profitability. This structure aligns L+B's interests with property owners—L+B earns more when properties are more profitable, not just when they generate more revenue. Properties pay management fees in the same month services are rendered (no collection lag).</w:t>
      </w:r>
    </w:p>
    <w:p>
      <w:pPr>
        <w:pStyle w:val="Heading3"/>
      </w:pPr>
      <w:r>
        <w:t xml:space="preserve">Fee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Management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Incentive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Operating Profit (GOP)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Industry benchmark: Base fees typically 2-4% of revenue; incentive fees typically 8-12% of GOP. L+B's structure is at the higher end of base fee range reflecting comprehensive service delivery, with standard incentive alignment.</w:t>
      </w:r>
    </w:p>
    <w:p>
      <w:pPr>
        <w:pStyle w:val="Heading3"/>
      </w:pPr>
      <w:r>
        <w:t xml:space="preserve">Services Included in Base Fee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positioning, digital marketing, OTA management, direct booking optimization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oversight, quality standards, guest experience, vendor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Accounting, reporting, budgeting, cash management, audit coordination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Recruiting, training, payroll administration, 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Services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management systems, technology infrastructure, cybersecurity</w:t>
            </w:r>
          </w:p>
        </w:tc>
      </w:tr>
    </w:tbl>
    <w:p>
      <w:pPr>
        <w:pStyle w:val="Heading2"/>
        <w:spacing w:before="400"/>
      </w:pPr>
      <w:r>
        <w:t xml:space="preserve">Cost Structure</w:t>
      </w:r>
    </w:p>
    <w:p>
      <w:pPr>
        <w:spacing w:after="100"/>
      </w:pPr>
      <w:r>
        <w:t xml:space="preserve">All fixed costs escalate annually at the inflation rate (3.0%).</w:t>
      </w:r>
    </w:p>
    <w:p>
      <w:pPr>
        <w:pStyle w:val="Heading3"/>
      </w:pPr>
      <w:r>
        <w:t xml:space="preserve">Fixed Costs (Year 1 Values)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Compensation (each)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partners; escalates with inflation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Lease &amp; Overhead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Escalates with inflation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Legal, insurance; escalates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systems; escalates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E&amp;O, liability; escalates</w:t>
            </w:r>
          </w:p>
        </w:tc>
      </w:tr>
    </w:tbl>
    <w:p>
      <w:pPr>
        <w:pStyle w:val="Heading3"/>
        <w:spacing w:before="200"/>
      </w:pPr>
      <w:r>
        <w:t xml:space="preserve">Variable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Basis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or Amount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Compensation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$75,000/year (escalates with inflation)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&amp; Property Visits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client property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$12,000/year (escalates)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IT Licensing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client property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$24,000/year (escalates)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Business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revenue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Operating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revenue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</w:tr>
    </w:tbl>
    <w:p>
      <w:pPr>
        <w:pStyle w:val="Heading2"/>
        <w:spacing w:before="400"/>
      </w:pPr>
      <w:r>
        <w:t xml:space="preserve">Client Ramp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Owned Properties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Clients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(partial)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6-10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External Client Average Gross Revenue: $1,500,000 per property per year</w:t>
      </w:r>
    </w:p>
    <w:p>
      <w:r>
        <w:br w:type="page"/>
      </w:r>
    </w:p>
    <w:p>
      <w:pPr>
        <w:pStyle w:val="Heading1"/>
      </w:pPr>
      <w:r>
        <w:t xml:space="preserve">Part Two: Property Portfolio</w:t>
      </w:r>
    </w:p>
    <w:p>
      <w:pPr>
        <w:pStyle w:val="Heading2"/>
      </w:pPr>
      <w:r>
        <w:t xml:space="preserve">Portfolio Overview</w:t>
      </w:r>
    </w:p>
    <w:p>
      <w:pPr>
        <w:spacing w:after="200"/>
      </w:pPr>
      <w:r>
        <w:t xml:space="preserve">The property portfolio consists of five boutique bed-and-breakfast properties acquired through individual Special Purpose Vehicles (SPVs). Each SPV raises capital independently and enters into a management agreement with L+B Hospitality Co. L+B Hospitality Co. does not own equity in the SPVs; consolidation is for informational purposes only.</w:t>
      </w:r>
    </w:p>
    <w:p>
      <w:pPr>
        <w:pStyle w:val="Heading2"/>
      </w:pPr>
      <w:r>
        <w:t xml:space="preserve">Property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Acquisition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Start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Acquisition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Upstate New York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Equity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Eden, Utah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Equity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Austin, Texas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Equity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Medellín, Colombia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Financed (25% down)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Asheville, North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Financed (25% down)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All properties begin generating revenue 6 months after acquisition date.</w:t>
      </w:r>
    </w:p>
    <w:p>
      <w:pPr>
        <w:pStyle w:val="Heading2"/>
        <w:spacing w:before="400"/>
      </w:pPr>
      <w:r>
        <w:t xml:space="preserve">Equity Capital Calls</w:t>
      </w:r>
    </w:p>
    <w:p>
      <w:pPr>
        <w:spacing w:after="100"/>
      </w:pPr>
      <w:r>
        <w:t xml:space="preserve">Capital calls include a 20% safety margin over base acquisition costs. Funding occurs at targeted acquisition 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19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Cost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20% Margin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Call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$3,450,000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$4,140,000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$4,150,000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1,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$3,450,000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$4,140,000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$4,150,000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$3,450,000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$4,140,000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$4,150,000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1, 2027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$1,825,000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$2,190,000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$1,825,000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$2,190,000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2028</w:t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Total Portfolio Equity: $16,850,000</w:t>
      </w:r>
    </w:p>
    <w:p>
      <w:pPr>
        <w:pStyle w:val="Heading2"/>
        <w:spacing w:before="400"/>
      </w:pPr>
      <w:r>
        <w:t xml:space="preserve">Acquisition Economics</w:t>
      </w:r>
    </w:p>
    <w:p>
      <w:pPr>
        <w:pStyle w:val="Heading3"/>
      </w:pPr>
      <w:r>
        <w:t xml:space="preserve">Standard Acquisition Package (All Properties)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Improvements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Pre-Opening Costs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Reserve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from Acquisition to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</w:tbl>
    <w:p>
      <w:pPr>
        <w:pStyle w:val="Heading3"/>
        <w:spacing w:before="200"/>
      </w:pPr>
      <w:r>
        <w:t xml:space="preserve">Full Equity Properties (I, II, III)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Acquisition Cost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$3,450,000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Debt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Timing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months after operations commence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Basis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 + Improvements ($3,100,000)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Loan-to-Value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Loan Amount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$2,325,000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Closing Costs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of loan amount ($69,750)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9.0% annual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Term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years, fully amortized</w:t>
            </w:r>
          </w:p>
        </w:tc>
      </w:tr>
    </w:tbl>
    <w:p>
      <w:pPr>
        <w:pStyle w:val="Heading3"/>
        <w:spacing w:before="200"/>
      </w:pPr>
      <w:r>
        <w:t xml:space="preserve">Financed Properties (IV, 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 Payment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of Purchase Price ($575,000)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Loan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of Purchase Price ($1,725,000)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Loan Closing Costs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of loan amount ($34,500)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Equity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$1,825,000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Service Reserve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9.0% annual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Term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years, fully amortized</w:t>
            </w:r>
          </w:p>
        </w:tc>
      </w:tr>
    </w:tbl>
    <w:p>
      <w:pPr>
        <w:pStyle w:val="Heading2"/>
        <w:spacing w:before="400"/>
      </w:pPr>
      <w:r>
        <w:t xml:space="preserve">Room Configuration and 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per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Portfolio Rooms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3"/>
        <w:spacing w:before="200"/>
      </w:pPr>
      <w:r>
        <w:t xml:space="preserve">Average Daily Rate by Property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ADR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Growth 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 (Upstate NY)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 (Utah)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III (Austin)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IV (Medellín)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 (Asheville)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ADR growth rates based on current industry forecasts (1-3% nationally) with boutique premium positioning. Medellín receives higher growth rate reflecting emerging market dynamics.</w:t>
      </w:r>
    </w:p>
    <w:p>
      <w:pPr>
        <w:pStyle w:val="Heading3"/>
        <w:spacing w:before="200"/>
      </w:pPr>
      <w:r>
        <w:t xml:space="preserve">Occupancy Ramp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Occupancy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Occupancy Increase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percentage points every 6 months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Occupancy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to Stabilization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Revenue Model (Percentage-Based)</w:t>
      </w:r>
    </w:p>
    <w:p>
      <w:pPr>
        <w:spacing w:after="100"/>
      </w:pPr>
      <w:r>
        <w:t xml:space="preserve">All revenue categories are expressed as percentages of Room Revenue for modeling simplicity:</w:t>
      </w:r>
    </w:p>
    <w:p>
      <w:pPr>
        <w:pStyle w:val="Heading3"/>
      </w:pPr>
      <w:r>
        <w:t xml:space="preserve">Revenue Relationships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Room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× ADR × Occupancy ×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(base)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 of Room 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Revenue (non-event)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 of Room 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 of Room 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Revenue ÷ 0.58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172%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This maintains the 58/25/13/4 revenue split while making Room Revenue the primary driver.</w:t>
      </w:r>
    </w:p>
    <w:p>
      <w:pPr>
        <w:pStyle w:val="Heading3"/>
      </w:pPr>
      <w:r>
        <w:t xml:space="preserve">Event Revenue Ramp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Stabilized Event Revenue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3"/>
        <w:spacing w:before="200"/>
      </w:pPr>
      <w:r>
        <w:t xml:space="preserve">Catering Level by Property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Catering 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F&amp;B Cost Multiplier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</w:tr>
    </w:tbl>
    <w:p>
      <w:pPr>
        <w:pStyle w:val="Heading2"/>
        <w:spacing w:before="400"/>
      </w:pPr>
      <w:r>
        <w:t xml:space="preserve">Cost Structure (Percentage-Based)</w:t>
      </w:r>
    </w:p>
    <w:p>
      <w:pPr>
        <w:spacing w:after="100"/>
      </w:pPr>
      <w:r>
        <w:t xml:space="preserve">Costs are classified as Fixed (do not vary with occupancy) or Variable (scale with revenue/activity).</w:t>
      </w:r>
    </w:p>
    <w:p>
      <w:pPr>
        <w:pStyle w:val="Heading3"/>
      </w:pPr>
      <w:r>
        <w:t xml:space="preserve">Variable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Basis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Cost (labor + supplies)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Cost (Partial Catering)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+ Event F&amp;B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Cost (Full Catering)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+ Event F&amp;B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Cost (non-F&amp;B)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Venue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Revenue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Ops &amp; 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Management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Incentive Management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Operating Profit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FF&amp;E Reserve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</w:tbl>
    <w:p>
      <w:pPr>
        <w:pStyle w:val="Heading3"/>
        <w:spacing w:before="200"/>
      </w:pPr>
      <w:r>
        <w:t xml:space="preserve">Fixed Costs (% of Total Revenue; Inflate at 3% Annually)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 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&amp; 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office, accounting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management systems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Taxes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Adjusted by property multiplier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Utilities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to operate property</w:t>
            </w:r>
          </w:p>
        </w:tc>
      </w:tr>
    </w:tbl>
    <w:p>
      <w:pPr>
        <w:pStyle w:val="Heading3"/>
        <w:spacing w:before="200"/>
      </w:pPr>
      <w:r>
        <w:t xml:space="preserve">Property-Specific Cost Adjustments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 Adjustment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Utilities Adjustment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Tax Adjustment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 (Upstate NY)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 (Utah)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III (Austin)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IV (Medellín)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 (Asheville)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Depreciation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Useful Life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(85% of Purchase Price)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$1,955,000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27.5 years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Straight-line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(15% of Purchase Price)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depreciated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years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Straight-line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FF&amp;E (from Reserve)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Straight-line</w:t>
            </w:r>
          </w:p>
        </w:tc>
      </w:tr>
    </w:tbl>
    <w:p>
      <w:pPr>
        <w:pStyle w:val="Heading2"/>
        <w:spacing w:before="400"/>
      </w:pPr>
      <w:r>
        <w:t xml:space="preserve">Debt Service</w:t>
      </w:r>
    </w:p>
    <w:p>
      <w:pPr>
        <w:spacing w:after="200"/>
      </w:pPr>
      <w:r>
        <w:t xml:space="preserve">All loans are fully amortized over 25 years (300 months) at 9.0% annual interest.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Closing Costs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(Properties IV, 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$1,725,000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($34,500)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$14,494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(Properties I, II, III)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$2,325,000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($69,750)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$19,537</w:t>
            </w:r>
          </w:p>
        </w:tc>
      </w:tr>
    </w:tbl>
    <w:p>
      <w:pPr>
        <w:pStyle w:val="Heading2"/>
        <w:spacing w:before="400"/>
      </w:pPr>
      <w:r>
        <w:t xml:space="preserve">Refinancing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Refinance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Proceeds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$2,325,000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$2,255,250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$2,325,000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$2,255,250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$2,325,000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$2,255,250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Refinance proceeds are distributed to investors (not treated as return of capital).</w:t>
      </w:r>
    </w:p>
    <w:p>
      <w:pPr>
        <w:pStyle w:val="Heading2"/>
        <w:spacing w:before="400"/>
      </w:pPr>
      <w:r>
        <w:t xml:space="preserve">Cash Management</w:t>
      </w:r>
    </w:p>
    <w:p>
      <w:pPr>
        <w:pStyle w:val="Heading3"/>
      </w:pPr>
      <w:r>
        <w:t xml:space="preserve">Working Capital Buffer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Cash Reserve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 of operating expenses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revenue centers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Threshold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above 3-month reserve may be distributed</w:t>
            </w:r>
          </w:p>
        </w:tc>
      </w:tr>
    </w:tbl>
    <w:p>
      <w:pPr>
        <w:pStyle w:val="Heading3"/>
        <w:spacing w:before="200"/>
      </w:pPr>
      <w:r>
        <w:t xml:space="preserve">Distribution Timing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Operations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distributions (cash retained)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proceeds distributed to investors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proceeds distributed per waterfall</w:t>
            </w:r>
          </w:p>
        </w:tc>
      </w:tr>
    </w:tbl>
    <w:p>
      <w:pPr>
        <w:pStyle w:val="Heading2"/>
        <w:spacing w:before="400"/>
      </w:pPr>
      <w:r>
        <w:t xml:space="preserve">Exit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years after first acquisition (June 2036)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Sold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1-5 properties sold together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at Sale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Debt-free (loans paid from proceeds)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Capitalization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Costs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of sale price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Exit Value = Year 10 Net Operating Income ÷ Capitalization Rate. Net Proceeds = Exit Value × 97% minus debt payoff.</w:t>
      </w:r>
    </w:p>
    <w:p>
      <w:pPr>
        <w:pStyle w:val="Heading2"/>
        <w:spacing w:before="400"/>
      </w:pPr>
      <w:r>
        <w:t xml:space="preserve">Investor Returns (SPV Level)</w:t>
      </w:r>
    </w:p>
    <w:p>
      <w:pPr>
        <w:spacing w:after="100"/>
      </w:pPr>
      <w:r>
        <w:t xml:space="preserve">Cash distributions occur at refinance and exit, following this waterfall: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of Capital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Return (8% cumulative from contribution 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Catch-up to Sponsor (until 20% of profits)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Split (70% Investor / 30% Sponsor)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Three: Financial Statement Requirements</w:t>
      </w:r>
    </w:p>
    <w:p>
      <w:pPr>
        <w:pStyle w:val="Heading2"/>
      </w:pPr>
      <w:r>
        <w:t xml:space="preserve">Statement Periods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Statement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Statement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2"/>
        <w:spacing w:before="400"/>
      </w:pPr>
      <w:r>
        <w:t xml:space="preserve">Required Financial Statement Sets</w:t>
      </w:r>
    </w:p>
    <w:p>
      <w:pPr>
        <w:spacing w:after="200"/>
      </w:pPr>
      <w:r>
        <w:t xml:space="preserve">The model produces four distinct levels of financial statements:</w:t>
      </w:r>
    </w:p>
    <w:p>
      <w:pPr>
        <w:pStyle w:val="Heading3"/>
      </w:pPr>
      <w:r>
        <w:t xml:space="preserve">Level 1: L+B Hospitality Co. (Standalone)</w:t>
      </w:r>
    </w:p>
    <w:p>
      <w:pPr>
        <w:pStyle w:val="ListParagraph"/>
        <w:numPr>
          <w:ilvl w:val="0"/>
          <w:numId w:val="2"/>
        </w:numPr>
      </w:pPr>
      <w:r>
        <w:t xml:space="preserve">Income Statement</w:t>
      </w:r>
    </w:p>
    <w:p>
      <w:pPr>
        <w:pStyle w:val="ListParagraph"/>
        <w:numPr>
          <w:ilvl w:val="0"/>
          <w:numId w:val="2"/>
        </w:numPr>
      </w:pPr>
      <w:r>
        <w:t xml:space="preserve">Cash Flow Statement</w:t>
      </w:r>
    </w:p>
    <w:p>
      <w:pPr>
        <w:pStyle w:val="ListParagraph"/>
        <w:numPr>
          <w:ilvl w:val="0"/>
          <w:numId w:val="2"/>
        </w:numPr>
      </w:pPr>
      <w:r>
        <w:t xml:space="preserve">Balance Sheet</w:t>
      </w:r>
    </w:p>
    <w:p>
      <w:pPr>
        <w:pStyle w:val="Heading3"/>
        <w:spacing w:before="200"/>
      </w:pPr>
      <w:r>
        <w:t xml:space="preserve">Level 2: Individual Property SPVs (×5)</w:t>
      </w:r>
    </w:p>
    <w:p>
      <w:pPr>
        <w:pStyle w:val="ListParagraph"/>
        <w:numPr>
          <w:ilvl w:val="0"/>
          <w:numId w:val="2"/>
        </w:numPr>
      </w:pPr>
      <w:r>
        <w:t xml:space="preserve">Income Statement</w:t>
      </w:r>
    </w:p>
    <w:p>
      <w:pPr>
        <w:pStyle w:val="ListParagraph"/>
        <w:numPr>
          <w:ilvl w:val="0"/>
          <w:numId w:val="2"/>
        </w:numPr>
      </w:pPr>
      <w:r>
        <w:t xml:space="preserve">Cash Flow Statement</w:t>
      </w:r>
    </w:p>
    <w:p>
      <w:pPr>
        <w:pStyle w:val="ListParagraph"/>
        <w:numPr>
          <w:ilvl w:val="0"/>
          <w:numId w:val="2"/>
        </w:numPr>
      </w:pPr>
      <w:r>
        <w:t xml:space="preserve">Balance Sheet</w:t>
      </w:r>
    </w:p>
    <w:p>
      <w:pPr>
        <w:pStyle w:val="ListParagraph"/>
        <w:numPr>
          <w:ilvl w:val="0"/>
          <w:numId w:val="2"/>
        </w:numPr>
      </w:pPr>
      <w:r>
        <w:t xml:space="preserve">Investor Return Metrics (IRR, Equity Multiple, Cash-on-Cash)</w:t>
      </w:r>
    </w:p>
    <w:p>
      <w:pPr>
        <w:pStyle w:val="Heading3"/>
        <w:spacing w:before="200"/>
      </w:pPr>
      <w:r>
        <w:t xml:space="preserve">Level 3: Property Portfolio Consolidated</w:t>
      </w:r>
    </w:p>
    <w:p>
      <w:pPr>
        <w:pStyle w:val="ListParagraph"/>
        <w:numPr>
          <w:ilvl w:val="0"/>
          <w:numId w:val="2"/>
        </w:numPr>
      </w:pPr>
      <w:r>
        <w:t xml:space="preserve">Combined Income Statement (all 5 SPVs)</w:t>
      </w:r>
    </w:p>
    <w:p>
      <w:pPr>
        <w:pStyle w:val="ListParagraph"/>
        <w:numPr>
          <w:ilvl w:val="0"/>
          <w:numId w:val="2"/>
        </w:numPr>
      </w:pPr>
      <w:r>
        <w:t xml:space="preserve">Combined Cash Flow Statement</w:t>
      </w:r>
    </w:p>
    <w:p>
      <w:pPr>
        <w:pStyle w:val="ListParagraph"/>
        <w:numPr>
          <w:ilvl w:val="0"/>
          <w:numId w:val="2"/>
        </w:numPr>
      </w:pPr>
      <w:r>
        <w:t xml:space="preserve">Combined Balance Sheet</w:t>
      </w:r>
    </w:p>
    <w:p>
      <w:pPr>
        <w:pStyle w:val="ListParagraph"/>
        <w:numPr>
          <w:ilvl w:val="0"/>
          <w:numId w:val="2"/>
        </w:numPr>
      </w:pPr>
      <w:r>
        <w:t xml:space="preserve">Portfolio-Level Metrics</w:t>
      </w:r>
    </w:p>
    <w:p>
      <w:pPr>
        <w:pStyle w:val="Heading3"/>
        <w:spacing w:before="200"/>
      </w:pPr>
      <w:r>
        <w:t xml:space="preserve">Level 4: Overall Consolidated (Informational Only)</w:t>
      </w:r>
    </w:p>
    <w:p>
      <w:pPr>
        <w:pStyle w:val="ListParagraph"/>
        <w:numPr>
          <w:ilvl w:val="0"/>
          <w:numId w:val="2"/>
        </w:numPr>
      </w:pPr>
      <w:r>
        <w:t xml:space="preserve">Consolidated Income Statement (with intercompany eliminations)</w:t>
      </w:r>
    </w:p>
    <w:p>
      <w:pPr>
        <w:pStyle w:val="ListParagraph"/>
        <w:numPr>
          <w:ilvl w:val="0"/>
          <w:numId w:val="2"/>
        </w:numPr>
      </w:pPr>
      <w:r>
        <w:t xml:space="preserve">Consolidated Cash Flow Statement</w:t>
      </w:r>
    </w:p>
    <w:p>
      <w:pPr>
        <w:pStyle w:val="ListParagraph"/>
        <w:numPr>
          <w:ilvl w:val="0"/>
          <w:numId w:val="2"/>
        </w:numPr>
      </w:pPr>
      <w:r>
        <w:t xml:space="preserve">Consolidated Balance Sheet</w:t>
      </w:r>
    </w:p>
    <w:p>
      <w:pPr>
        <w:spacing w:before="100" w:after="200"/>
      </w:pPr>
      <w:r>
        <w:rPr>
          <w:i/>
          <w:iCs/>
        </w:rPr>
        <w:t xml:space="preserve">L+B Hospitality Co. owns 0% of SPVs. Consolidation is for investor information only. Intercompany elimination: Management fees paid from properties to management company.</w:t>
      </w:r>
    </w:p>
    <w:p>
      <w:pPr>
        <w:pStyle w:val="Heading2"/>
        <w:spacing w:before="400"/>
      </w:pPr>
      <w:r>
        <w:t xml:space="preserve">Key Performance Indicators</w:t>
      </w:r>
    </w:p>
    <w:p>
      <w:pPr>
        <w:pStyle w:val="Heading3"/>
      </w:pPr>
      <w:r>
        <w:t xml:space="preserve">L+B Hospitality Co.</w:t>
      </w:r>
    </w:p>
    <w:p>
      <w:r>
        <w:t xml:space="preserve">Revenue per Client, EBITDA Margin, Cash Burn Rate, Months of Runway</w:t>
      </w:r>
    </w:p>
    <w:p>
      <w:pPr>
        <w:pStyle w:val="Heading3"/>
        <w:spacing w:before="100"/>
      </w:pPr>
      <w:r>
        <w:t xml:space="preserve">Property SPVs</w:t>
      </w:r>
    </w:p>
    <w:p>
      <w:r>
        <w:t xml:space="preserve">ADR, Occupancy, RevPAR, GOP Margin, EBITDA Margin, NOI, DSCR, Cash-on-Cash Return, IRR, Equity Multiple</w:t>
      </w:r>
    </w:p>
    <w:p>
      <w:pPr>
        <w:pStyle w:val="Heading3"/>
        <w:spacing w:before="100"/>
      </w:pPr>
      <w:r>
        <w:t xml:space="preserve">Portfolio Level</w:t>
      </w:r>
    </w:p>
    <w:p>
      <w:r>
        <w:t xml:space="preserve">Weighted Average ADR, Weighted Average Occupancy, Total RevPAR, Portfolio NOI, Portfolio DSCR, Portfolio IRR, Portfolio Equity Multiple</w:t>
      </w:r>
    </w:p>
    <w:p>
      <w:r>
        <w:br w:type="page"/>
      </w:r>
    </w:p>
    <w:p>
      <w:pPr>
        <w:pStyle w:val="Heading1"/>
      </w:pPr>
      <w:r>
        <w:t xml:space="preserve">Part Four: Complete Variable List for Excel Model</w:t>
      </w:r>
    </w:p>
    <w:p>
      <w:pPr>
        <w:spacing w:after="200"/>
      </w:pPr>
      <w:r>
        <w:t xml:space="preserve">All variables below should be input cells in the Excel model. Values feed into all calculations throughout the model.</w:t>
      </w:r>
    </w:p>
    <w:p>
      <w:pPr>
        <w:pStyle w:val="Heading2"/>
      </w:pPr>
      <w:r>
        <w:t xml:space="preserve">Global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Start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Periods Per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Capital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of operating expenses</w:t>
            </w:r>
          </w:p>
        </w:tc>
      </w:tr>
    </w:tbl>
    <w:p>
      <w:pPr>
        <w:pStyle w:val="Heading2"/>
        <w:spacing w:before="400"/>
      </w:pPr>
      <w:r>
        <w:t xml:space="preserve">L+B Hospitality Co. - Capital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SAFE Raise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Valuation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Discount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1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1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2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2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1, 2027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Salary Start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</w:tbl>
    <w:p>
      <w:pPr>
        <w:pStyle w:val="Heading2"/>
        <w:spacing w:before="400"/>
      </w:pPr>
      <w:r>
        <w:t xml:space="preserve">L+B Hospitality Co. - Revenue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Management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client gross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Incentive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client GOP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Client Average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Client Average GOP Margin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Fee Collection 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(same month)</w:t>
            </w:r>
          </w:p>
        </w:tc>
      </w:tr>
    </w:tbl>
    <w:p>
      <w:pPr>
        <w:pStyle w:val="Heading2"/>
        <w:spacing w:before="400"/>
      </w:pPr>
      <w:r>
        <w:t xml:space="preserve">L+B Hospitality Co. - Costs (Year 1 Values)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Compensation (each)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Partners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Cost per FTE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FTEs (1-3 Clients)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FTEs (4-6 Clients)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FTEs (7-10 Clients)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Overhead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per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 per client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Licensing per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year per client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BD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Operating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Tax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Property Acquisition - Common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Improvements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Pre-Opening Costs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Reserve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Service Reserve (financed)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to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per 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Call Safety Margin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% of Purchase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% of Purchase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Depreciation Life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Improvements Depreciation Life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FF&amp;E Depreciation Life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</w:t>
            </w:r>
          </w:p>
        </w:tc>
      </w:tr>
    </w:tbl>
    <w:p>
      <w:pPr>
        <w:pStyle w:val="Heading2"/>
        <w:spacing w:before="400"/>
      </w:pPr>
      <w:r>
        <w:t xml:space="preserve">Property-Specific Variables</w:t>
      </w:r>
    </w:p>
    <w:p>
      <w:pPr>
        <w:spacing w:after="100"/>
      </w:pPr>
      <w:r>
        <w:rPr>
          <w:i/>
          <w:iCs/>
        </w:rPr>
        <w:t xml:space="preserve">Each property requires the following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2028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2028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Call 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$4,150,000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Call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1,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1,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1,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1, 2028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1, 2028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ADR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Growth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Catering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 Adjustment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 Adjustment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Tax Adjustment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400"/>
      </w:pPr>
      <w:r>
        <w:t xml:space="preserve">Revenue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Occupancy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Occupancy Increase per 6 Months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points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Occupancy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Revenue % of Room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Revenue % of Room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Revenue % of Room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Ramp Year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stabilized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Ramp Year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stabilized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Ramp Year 3+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stabilized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Cost Variables - Variable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Cost (Partial Catering)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+ Event F&amp;B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Cost (Full Catering)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+ Event F&amp;B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Cost (non-F&amp;B)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Venue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Revenue 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Ops &amp; Maintenance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Utilities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Management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Incentive Management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Operating Profit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FF&amp;E Reserve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</w:tbl>
    <w:p>
      <w:pPr>
        <w:pStyle w:val="Heading2"/>
        <w:spacing w:before="400"/>
      </w:pPr>
      <w:r>
        <w:t xml:space="preserve">Cost Variables - Fixed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&amp; 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Taxes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Utilities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Cost Escalation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pStyle w:val="Heading2"/>
        <w:spacing w:before="400"/>
      </w:pPr>
      <w:r>
        <w:t xml:space="preserve">Debt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Loan LTV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purchase price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Loan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Loan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Loan Closing Costs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loan amount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LTV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(purchase + improvements)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Closing Costs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loan amount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 Timing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after operations</w:t>
            </w:r>
          </w:p>
        </w:tc>
      </w:tr>
    </w:tbl>
    <w:p>
      <w:pPr>
        <w:pStyle w:val="Heading2"/>
        <w:spacing w:before="400"/>
      </w:pPr>
      <w:r>
        <w:t xml:space="preserve">Exit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from model start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Capitalization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Costs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sale price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Sold Together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1-5 properties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at Exit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from proceeds</w:t>
            </w:r>
          </w:p>
        </w:tc>
      </w:tr>
    </w:tbl>
    <w:p>
      <w:pPr>
        <w:pStyle w:val="Heading2"/>
        <w:spacing w:before="400"/>
      </w:pPr>
      <w:r>
        <w:t xml:space="preserve">Investor Return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from contribution 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Return Accrual 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operations start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Catch-up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cumulative profits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Split - Investor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catch-up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Split - Sponsor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catch-up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Refinance, Exit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quarterly distributions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Capital Structure Details</w:t>
      </w:r>
    </w:p>
    <w:p>
      <w:pPr>
        <w:pStyle w:val="Heading2"/>
      </w:pPr>
      <w:r>
        <w:t xml:space="preserve">L+B Hospitality Co.</w:t>
      </w:r>
    </w:p>
    <w:p>
      <w:pPr>
        <w:spacing w:after="100"/>
      </w:pPr>
      <w:r>
        <w:rPr>
          <w:b/>
          <w:bCs/>
        </w:rPr>
        <w:t xml:space="preserve">Entity Type: </w:t>
      </w:r>
      <w:r>
        <w:t xml:space="preserve">Delaware C-Corporation</w:t>
      </w:r>
    </w:p>
    <w:p>
      <w:pPr>
        <w:spacing w:after="200"/>
      </w:pPr>
      <w:r>
        <w:rPr>
          <w:b/>
          <w:bCs/>
        </w:rPr>
        <w:t xml:space="preserve">Capital Instrument: </w:t>
      </w:r>
      <w:r>
        <w:t xml:space="preserve">SAFE (Simple Agreement for Future Equity)</w:t>
      </w:r>
    </w:p>
    <w:p>
      <w:pPr>
        <w:pStyle w:val="Heading3"/>
      </w:pPr>
      <w:r>
        <w:t xml:space="preserve">Use of Proceeds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Raise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Compensation (18 months runway)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Staff (12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Setup &amp; Deposits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&amp;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Business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Capital Reserve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before="400"/>
      </w:pPr>
      <w:r>
        <w:t xml:space="preserve">Property SPVs</w:t>
      </w:r>
    </w:p>
    <w:p>
      <w:pPr>
        <w:spacing w:after="100"/>
      </w:pPr>
      <w:r>
        <w:rPr>
          <w:b/>
          <w:bCs/>
        </w:rPr>
        <w:t xml:space="preserve">Entity Type: </w:t>
      </w:r>
      <w:r>
        <w:t xml:space="preserve">Delaware LLC (×5, one per property)</w:t>
      </w:r>
    </w:p>
    <w:p>
      <w:pPr>
        <w:spacing w:after="200"/>
      </w:pPr>
      <w:r>
        <w:rPr>
          <w:b/>
          <w:bCs/>
        </w:rPr>
        <w:t xml:space="preserve">Naming Convention: </w:t>
      </w:r>
      <w:r>
        <w:t xml:space="preserve">L+B Property I, LLC through L+B Property V, LLC</w:t>
      </w:r>
    </w:p>
    <w:p>
      <w:pPr>
        <w:pStyle w:val="Heading3"/>
      </w:pPr>
      <w:r>
        <w:t xml:space="preserve">Total Portfolio Capital Requirement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 I-III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 IV-V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Equity (with margin)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$12,450,000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$4,400,000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$16,850,000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at Acquisition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$3,450,000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$12,450,000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$7,850,000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$20,300,000</w:t>
            </w:r>
          </w:p>
        </w:tc>
      </w:tr>
    </w:tbl>
    <w:p>
      <w:pPr>
        <w:pStyle w:val="Heading3"/>
        <w:spacing w:before="200"/>
      </w:pPr>
      <w:r>
        <w:t xml:space="preserve">Distribution Waterfall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Expenses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Including management fees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+ interest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3-month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of Capital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investors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Return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cumulative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Catch-up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sponsor until 20% of profits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investor / 30% sponsor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Market Research and Benchmarks</w:t>
      </w:r>
    </w:p>
    <w:p>
      <w:pPr>
        <w:spacing w:after="200"/>
      </w:pPr>
      <w:r>
        <w:t xml:space="preserve">The following market research informed the initial values used in this business model.</w:t>
      </w:r>
    </w:p>
    <w:p>
      <w:pPr>
        <w:pStyle w:val="Heading2"/>
      </w:pPr>
      <w:r>
        <w:t xml:space="preserve">ADR Growth Rate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Source/Segment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 Growth Rate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Hotels Overall (2024)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Hotels Forecast (2025-2026)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 - 1.6%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 Hotels (2025 YTD)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Boutique Hotels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over comparable class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Selected Rate (U.S. Properties)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Selected Rate (Medellín)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</w:tr>
    </w:tbl>
    <w:p>
      <w:pPr>
        <w:spacing w:before="100" w:after="200"/>
      </w:pPr>
      <w:r>
        <w:rPr>
          <w:i/>
          <w:iCs/>
        </w:rPr>
        <w:t xml:space="preserve">Selected rates reflect boutique positioning above industry average.</w:t>
      </w:r>
    </w:p>
    <w:p>
      <w:pPr>
        <w:pStyle w:val="Heading2"/>
        <w:spacing w:before="400"/>
      </w:pPr>
      <w:r>
        <w:t xml:space="preserve">Cash Reserve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Business Practice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 operating expenses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Industry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fixed costs before stabilization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Restaurants/Hospitality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month minimum; seasonal businesses higher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Selected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 operating expenses</w:t>
            </w:r>
          </w:p>
        </w:tc>
      </w:tr>
    </w:tbl>
    <w:p>
      <w:pPr>
        <w:pStyle w:val="Heading2"/>
        <w:spacing w:before="400"/>
      </w:pPr>
      <w:r>
        <w:t xml:space="preserve">Boutique Hotel ADR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 Range (2024)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Boutique Hotels Overall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$141 - $440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Upper-Upscale Soft Brands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 Lifestyle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$380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 Indie Boutiques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$440</w:t>
            </w:r>
          </w:p>
        </w:tc>
      </w:tr>
    </w:tbl>
    <w:p>
      <w:pPr>
        <w:pStyle w:val="Heading2"/>
        <w:spacing w:before="400"/>
      </w:pPr>
      <w:r>
        <w:t xml:space="preserve">Occupancy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National Average (2024-2025)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 - 66%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Boutique Hotels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57% - 71%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Lifestyle Hotels (Upscale)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Stabilized 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</w:tbl>
    <w:p>
      <w:pPr>
        <w:pStyle w:val="Heading2"/>
        <w:spacing w:before="400"/>
      </w:pPr>
      <w:r>
        <w:t xml:space="preserve">Capitalization Rate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Rate Range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Hotels (Average)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Boutique (Premium Markets)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7.0% - 8.5%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Boutique (Secondary Markets)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8.0% - 9.5%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(Colombia)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9.0% - 11.0%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Selected Exit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8.5%</w:t>
            </w:r>
          </w:p>
        </w:tc>
      </w:tr>
    </w:tbl>
    <w:p>
      <w:pPr>
        <w:pStyle w:val="Heading2"/>
        <w:spacing w:before="400"/>
      </w:pPr>
      <w:r>
        <w:t xml:space="preserve">Debt Market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Market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Rates (Hotel Loans)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- 10%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LTV (Acquisition)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- 75%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Amortization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20 - 25 years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DSCR Requirements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1.25x - 1.35x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Selected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Selected LTV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L+B Selected Term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years</w:t>
            </w:r>
          </w:p>
        </w:tc>
      </w:tr>
    </w:tbl>
    <w:p>
      <w:r>
        <w:br w:type="page"/>
      </w:r>
    </w:p>
    <w:p>
      <w:pPr>
        <w:spacing w:before="3000"/>
      </w:pP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End of Business Model Specification</w:t>
      </w:r>
    </w:p>
    <w:p>
      <w:pPr>
        <w:spacing w:before="400"/>
      </w:pPr>
    </w:p>
    <w:p>
      <w:pPr>
        <w:jc w:val="center"/>
      </w:pPr>
      <w:r>
        <w:rPr>
          <w:color w:val="999999"/>
          <w:sz w:val="22"/>
          <w:szCs w:val="22"/>
        </w:rPr>
        <w:t xml:space="preserve">L+B Hospitality Group</w:t>
      </w:r>
    </w:p>
    <w:p>
      <w:pPr>
        <w:jc w:val="center"/>
      </w:pPr>
      <w:r>
        <w:rPr>
          <w:color w:val="999999"/>
          <w:sz w:val="20"/>
          <w:szCs w:val="20"/>
        </w:rPr>
        <w:t xml:space="preserve">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L+B Hospitality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2026-01-25T16:38:22.199Z</dcterms:created>
  <dcterms:modified xsi:type="dcterms:W3CDTF">2026-01-25T16:38:22.200Z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