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48EE844" w:rsidP="45CAAEDF" w:rsidRDefault="648EE844" w14:paraId="544B99B3" w14:textId="50C031B7">
      <w:pPr>
        <w:spacing w:line="240" w:lineRule="auto"/>
        <w:jc w:val="center"/>
        <w:rPr>
          <w:rFonts w:ascii="Arial" w:hAnsi="Arial" w:eastAsia="Arial" w:cs="Arial"/>
          <w:b w:val="0"/>
          <w:bCs w:val="0"/>
          <w:i w:val="0"/>
          <w:iCs w:val="0"/>
          <w:caps w:val="0"/>
          <w:smallCaps w:val="0"/>
          <w:noProof w:val="0"/>
          <w:color w:val="auto" w:themeColor="text1" w:themeTint="FF" w:themeShade="FF"/>
          <w:sz w:val="24"/>
          <w:szCs w:val="24"/>
          <w:lang w:val="en-US"/>
        </w:rPr>
      </w:pPr>
      <w:r w:rsidRPr="45CAAEDF" w:rsidR="45CAAEDF">
        <w:rPr>
          <w:rFonts w:ascii="Arial" w:hAnsi="Arial" w:eastAsia="Arial" w:cs="Arial"/>
          <w:b w:val="0"/>
          <w:bCs w:val="0"/>
          <w:i w:val="0"/>
          <w:iCs w:val="0"/>
          <w:caps w:val="0"/>
          <w:smallCaps w:val="0"/>
          <w:color w:val="auto"/>
          <w:sz w:val="24"/>
          <w:szCs w:val="24"/>
        </w:rPr>
        <w:t>MCD</w:t>
      </w:r>
      <w:r w:rsidRPr="45CAAEDF" w:rsidR="45CAAEDF">
        <w:rPr>
          <w:rFonts w:ascii="Arial" w:hAnsi="Arial" w:eastAsia="Arial" w:cs="Arial"/>
          <w:b w:val="0"/>
          <w:bCs w:val="0"/>
          <w:i w:val="0"/>
          <w:iCs w:val="0"/>
          <w:caps w:val="0"/>
          <w:smallCaps w:val="0"/>
          <w:color w:val="auto"/>
          <w:sz w:val="24"/>
          <w:szCs w:val="24"/>
        </w:rPr>
        <w:t xml:space="preserve"> – Series de Tiempo</w:t>
      </w:r>
    </w:p>
    <w:p w:rsidR="648EE844" w:rsidP="45CAAEDF" w:rsidRDefault="648EE844" w14:paraId="470233AB" w14:textId="49DC1278">
      <w:pPr>
        <w:spacing w:line="240" w:lineRule="auto"/>
        <w:jc w:val="center"/>
        <w:rPr>
          <w:rFonts w:ascii="Arial" w:hAnsi="Arial" w:eastAsia="Arial" w:cs="Arial"/>
          <w:b w:val="0"/>
          <w:bCs w:val="0"/>
          <w:i w:val="0"/>
          <w:iCs w:val="0"/>
          <w:caps w:val="0"/>
          <w:smallCaps w:val="0"/>
          <w:noProof w:val="0"/>
          <w:color w:val="auto" w:themeColor="text1" w:themeTint="FF" w:themeShade="FF"/>
          <w:sz w:val="24"/>
          <w:szCs w:val="24"/>
          <w:lang w:val="en-US"/>
        </w:rPr>
      </w:pPr>
      <w:r w:rsidRPr="45CAAEDF" w:rsidR="45CAAEDF">
        <w:rPr>
          <w:rFonts w:ascii="Arial" w:hAnsi="Arial" w:eastAsia="Arial" w:cs="Arial"/>
          <w:b w:val="0"/>
          <w:bCs w:val="0"/>
          <w:i w:val="0"/>
          <w:iCs w:val="0"/>
          <w:caps w:val="0"/>
          <w:smallCaps w:val="0"/>
          <w:color w:val="auto"/>
          <w:sz w:val="24"/>
          <w:szCs w:val="24"/>
        </w:rPr>
        <w:t>Trabajo final</w:t>
      </w:r>
    </w:p>
    <w:p w:rsidR="7D882986" w:rsidP="45CAAEDF" w:rsidRDefault="7D882986" w14:paraId="527C2905" w14:textId="5AC6283C">
      <w:pPr>
        <w:spacing w:line="240" w:lineRule="auto"/>
        <w:jc w:val="both"/>
        <w:rPr>
          <w:rFonts w:ascii="Arial" w:hAnsi="Arial" w:eastAsia="Arial" w:cs="Arial"/>
          <w:b w:val="0"/>
          <w:bCs w:val="0"/>
          <w:i w:val="0"/>
          <w:iCs w:val="0"/>
          <w:caps w:val="0"/>
          <w:smallCaps w:val="0"/>
          <w:noProof w:val="0"/>
          <w:color w:val="auto" w:themeColor="text1" w:themeTint="FF" w:themeShade="FF"/>
          <w:sz w:val="24"/>
          <w:szCs w:val="24"/>
          <w:lang w:val="en-US"/>
        </w:rPr>
      </w:pPr>
    </w:p>
    <w:p w:rsidR="7D882986" w:rsidP="45CAAEDF" w:rsidRDefault="7D882986" w14:paraId="099DEBCC" w14:textId="42F32021">
      <w:pPr>
        <w:spacing w:line="240" w:lineRule="auto"/>
        <w:jc w:val="both"/>
        <w:rPr>
          <w:rFonts w:ascii="Arial" w:hAnsi="Arial" w:eastAsia="Arial" w:cs="Arial"/>
          <w:b w:val="0"/>
          <w:bCs w:val="0"/>
          <w:i w:val="0"/>
          <w:iCs w:val="0"/>
          <w:caps w:val="0"/>
          <w:smallCaps w:val="0"/>
          <w:noProof w:val="0"/>
          <w:color w:val="auto" w:themeColor="text1" w:themeTint="FF" w:themeShade="FF"/>
          <w:sz w:val="24"/>
          <w:szCs w:val="24"/>
          <w:lang w:val="en-US"/>
        </w:rPr>
      </w:pPr>
    </w:p>
    <w:p w:rsidR="7D882986" w:rsidP="45CAAEDF" w:rsidRDefault="7D882986" w14:paraId="01B97EFD" w14:textId="269D8BCD">
      <w:pPr>
        <w:spacing w:line="240" w:lineRule="auto"/>
        <w:jc w:val="both"/>
        <w:rPr>
          <w:rFonts w:ascii="Arial" w:hAnsi="Arial" w:eastAsia="Arial" w:cs="Arial"/>
          <w:b w:val="0"/>
          <w:bCs w:val="0"/>
          <w:i w:val="0"/>
          <w:iCs w:val="0"/>
          <w:caps w:val="0"/>
          <w:smallCaps w:val="0"/>
          <w:noProof w:val="0"/>
          <w:color w:val="auto" w:themeColor="text1" w:themeTint="FF" w:themeShade="FF"/>
          <w:sz w:val="24"/>
          <w:szCs w:val="24"/>
          <w:lang w:val="en-US"/>
        </w:rPr>
      </w:pPr>
    </w:p>
    <w:p w:rsidR="7D882986" w:rsidP="45CAAEDF" w:rsidRDefault="7D882986" w14:paraId="6280E843" w14:textId="6CCCB759">
      <w:pPr>
        <w:spacing w:line="240" w:lineRule="auto"/>
        <w:jc w:val="both"/>
        <w:rPr>
          <w:rFonts w:ascii="Arial" w:hAnsi="Arial" w:eastAsia="Arial" w:cs="Arial"/>
          <w:b w:val="0"/>
          <w:bCs w:val="0"/>
          <w:i w:val="0"/>
          <w:iCs w:val="0"/>
          <w:caps w:val="0"/>
          <w:smallCaps w:val="0"/>
          <w:noProof w:val="0"/>
          <w:color w:val="auto" w:themeColor="text1" w:themeTint="FF" w:themeShade="FF"/>
          <w:sz w:val="24"/>
          <w:szCs w:val="24"/>
          <w:lang w:val="en-US"/>
        </w:rPr>
      </w:pPr>
    </w:p>
    <w:p w:rsidR="7D882986" w:rsidP="45CAAEDF" w:rsidRDefault="7D882986" w14:paraId="333A2A38" w14:textId="7BFC1631">
      <w:pPr>
        <w:spacing w:line="240" w:lineRule="auto"/>
        <w:jc w:val="both"/>
        <w:rPr>
          <w:rFonts w:ascii="Arial" w:hAnsi="Arial" w:eastAsia="Arial" w:cs="Arial"/>
          <w:b w:val="0"/>
          <w:bCs w:val="0"/>
          <w:i w:val="0"/>
          <w:iCs w:val="0"/>
          <w:caps w:val="0"/>
          <w:smallCaps w:val="0"/>
          <w:noProof w:val="0"/>
          <w:color w:val="auto" w:themeColor="text1" w:themeTint="FF" w:themeShade="FF"/>
          <w:sz w:val="24"/>
          <w:szCs w:val="24"/>
          <w:lang w:val="en-US"/>
        </w:rPr>
      </w:pPr>
    </w:p>
    <w:p w:rsidR="7D882986" w:rsidP="45CAAEDF" w:rsidRDefault="7D882986" w14:paraId="4ED7226C" w14:textId="3D2610AC">
      <w:pPr>
        <w:spacing w:line="240" w:lineRule="auto"/>
        <w:jc w:val="both"/>
        <w:rPr>
          <w:rFonts w:ascii="Arial" w:hAnsi="Arial" w:eastAsia="Arial" w:cs="Arial"/>
          <w:b w:val="0"/>
          <w:bCs w:val="0"/>
          <w:i w:val="0"/>
          <w:iCs w:val="0"/>
          <w:caps w:val="0"/>
          <w:smallCaps w:val="0"/>
          <w:noProof w:val="0"/>
          <w:color w:val="auto" w:themeColor="text1" w:themeTint="FF" w:themeShade="FF"/>
          <w:sz w:val="24"/>
          <w:szCs w:val="24"/>
          <w:lang w:val="en-US"/>
        </w:rPr>
      </w:pPr>
    </w:p>
    <w:p w:rsidR="7D882986" w:rsidP="45CAAEDF" w:rsidRDefault="7D882986" w14:paraId="0BC8833D" w14:textId="025B16F5">
      <w:pPr>
        <w:spacing w:line="240" w:lineRule="auto"/>
        <w:jc w:val="both"/>
        <w:rPr>
          <w:rFonts w:ascii="Arial" w:hAnsi="Arial" w:eastAsia="Arial" w:cs="Arial"/>
          <w:b w:val="0"/>
          <w:bCs w:val="0"/>
          <w:i w:val="0"/>
          <w:iCs w:val="0"/>
          <w:caps w:val="0"/>
          <w:smallCaps w:val="0"/>
          <w:noProof w:val="0"/>
          <w:color w:val="auto" w:themeColor="text1" w:themeTint="FF" w:themeShade="FF"/>
          <w:sz w:val="24"/>
          <w:szCs w:val="24"/>
          <w:lang w:val="en-US"/>
        </w:rPr>
      </w:pPr>
    </w:p>
    <w:p w:rsidR="7D882986" w:rsidP="45CAAEDF" w:rsidRDefault="7D882986" w14:paraId="7EB1ED28" w14:textId="14B7B11D">
      <w:pPr>
        <w:spacing w:line="240" w:lineRule="auto"/>
        <w:jc w:val="both"/>
        <w:rPr>
          <w:rFonts w:ascii="Arial" w:hAnsi="Arial" w:eastAsia="Arial" w:cs="Arial"/>
          <w:b w:val="0"/>
          <w:bCs w:val="0"/>
          <w:i w:val="0"/>
          <w:iCs w:val="0"/>
          <w:caps w:val="0"/>
          <w:smallCaps w:val="0"/>
          <w:noProof w:val="0"/>
          <w:color w:val="auto" w:themeColor="text1" w:themeTint="FF" w:themeShade="FF"/>
          <w:sz w:val="24"/>
          <w:szCs w:val="24"/>
          <w:lang w:val="en-US"/>
        </w:rPr>
      </w:pPr>
    </w:p>
    <w:p w:rsidR="7D882986" w:rsidP="45CAAEDF" w:rsidRDefault="7D882986" w14:paraId="72D4FBAB" w14:textId="308B5317">
      <w:pPr>
        <w:spacing w:line="240" w:lineRule="auto"/>
        <w:jc w:val="both"/>
        <w:rPr>
          <w:rFonts w:ascii="Arial" w:hAnsi="Arial" w:eastAsia="Arial" w:cs="Arial"/>
          <w:b w:val="0"/>
          <w:bCs w:val="0"/>
          <w:i w:val="0"/>
          <w:iCs w:val="0"/>
          <w:caps w:val="0"/>
          <w:smallCaps w:val="0"/>
          <w:noProof w:val="0"/>
          <w:color w:val="auto" w:themeColor="text1" w:themeTint="FF" w:themeShade="FF"/>
          <w:sz w:val="24"/>
          <w:szCs w:val="24"/>
          <w:lang w:val="en-US"/>
        </w:rPr>
      </w:pPr>
    </w:p>
    <w:p w:rsidR="648EE844" w:rsidP="45CAAEDF" w:rsidRDefault="648EE844" w14:paraId="383F403E" w14:textId="3C1995DC">
      <w:pPr>
        <w:spacing w:line="240" w:lineRule="auto"/>
        <w:jc w:val="center"/>
        <w:rPr>
          <w:rFonts w:ascii="Arial" w:hAnsi="Arial" w:eastAsia="Arial" w:cs="Arial"/>
          <w:b w:val="0"/>
          <w:bCs w:val="0"/>
          <w:i w:val="0"/>
          <w:iCs w:val="0"/>
          <w:caps w:val="0"/>
          <w:smallCaps w:val="0"/>
          <w:noProof w:val="0"/>
          <w:color w:val="auto" w:themeColor="text1" w:themeTint="FF" w:themeShade="FF"/>
          <w:sz w:val="24"/>
          <w:szCs w:val="24"/>
          <w:lang w:val="en-US"/>
        </w:rPr>
      </w:pPr>
      <w:r w:rsidRPr="45CAAEDF" w:rsidR="45CAAEDF">
        <w:rPr>
          <w:rFonts w:ascii="Arial" w:hAnsi="Arial" w:eastAsia="Arial" w:cs="Arial"/>
          <w:b w:val="0"/>
          <w:bCs w:val="0"/>
          <w:i w:val="0"/>
          <w:iCs w:val="0"/>
          <w:caps w:val="0"/>
          <w:smallCaps w:val="0"/>
          <w:color w:val="auto"/>
          <w:sz w:val="24"/>
          <w:szCs w:val="24"/>
        </w:rPr>
        <w:t>Integrantes:</w:t>
      </w:r>
    </w:p>
    <w:p w:rsidR="7C2857C0" w:rsidP="45CAAEDF" w:rsidRDefault="7C2857C0" w14:paraId="1E838851" w14:textId="418EC77A">
      <w:pPr>
        <w:pStyle w:val="Normal"/>
        <w:spacing w:line="240" w:lineRule="auto"/>
        <w:jc w:val="center"/>
        <w:rPr>
          <w:rFonts w:ascii="Arial" w:hAnsi="Arial" w:eastAsia="Arial" w:cs="Arial"/>
          <w:b w:val="0"/>
          <w:bCs w:val="0"/>
          <w:i w:val="0"/>
          <w:iCs w:val="0"/>
          <w:caps w:val="0"/>
          <w:smallCaps w:val="0"/>
          <w:noProof w:val="0"/>
          <w:color w:val="auto" w:themeColor="text1" w:themeTint="FF" w:themeShade="FF"/>
          <w:sz w:val="24"/>
          <w:szCs w:val="24"/>
          <w:lang w:val="en-US"/>
        </w:rPr>
      </w:pPr>
      <w:r w:rsidRPr="45CAAEDF" w:rsidR="45CAAEDF">
        <w:rPr>
          <w:rFonts w:ascii="Arial" w:hAnsi="Arial" w:eastAsia="Arial" w:cs="Arial"/>
          <w:b w:val="0"/>
          <w:bCs w:val="0"/>
          <w:i w:val="0"/>
          <w:iCs w:val="0"/>
          <w:caps w:val="0"/>
          <w:smallCaps w:val="0"/>
          <w:color w:val="auto"/>
          <w:sz w:val="24"/>
          <w:szCs w:val="24"/>
        </w:rPr>
        <w:t>Laura Alejandra Guerrero</w:t>
      </w:r>
    </w:p>
    <w:p w:rsidR="4192E316" w:rsidP="45CAAEDF" w:rsidRDefault="4192E316" w14:paraId="08DF425A" w14:textId="7E31FBCD">
      <w:pPr>
        <w:pStyle w:val="Normal"/>
        <w:spacing w:line="240" w:lineRule="auto"/>
        <w:jc w:val="center"/>
        <w:rPr>
          <w:rFonts w:ascii="Arial" w:hAnsi="Arial" w:eastAsia="Arial" w:cs="Arial"/>
          <w:b w:val="0"/>
          <w:bCs w:val="0"/>
          <w:i w:val="0"/>
          <w:iCs w:val="0"/>
          <w:caps w:val="0"/>
          <w:smallCaps w:val="0"/>
          <w:noProof w:val="0"/>
          <w:color w:val="auto" w:themeColor="text1" w:themeTint="FF" w:themeShade="FF"/>
          <w:sz w:val="24"/>
          <w:szCs w:val="24"/>
          <w:lang w:val="en-US"/>
        </w:rPr>
      </w:pPr>
      <w:r w:rsidRPr="45CAAEDF" w:rsidR="45CAAEDF">
        <w:rPr>
          <w:rFonts w:ascii="Arial" w:hAnsi="Arial" w:eastAsia="Arial" w:cs="Arial"/>
          <w:b w:val="0"/>
          <w:bCs w:val="0"/>
          <w:i w:val="0"/>
          <w:iCs w:val="0"/>
          <w:caps w:val="0"/>
          <w:smallCaps w:val="0"/>
          <w:color w:val="auto"/>
          <w:sz w:val="24"/>
          <w:szCs w:val="24"/>
        </w:rPr>
        <w:t>Pablo Alonzo León</w:t>
      </w:r>
    </w:p>
    <w:p w:rsidR="4192E316" w:rsidP="45CAAEDF" w:rsidRDefault="4192E316" w14:paraId="4C587E74" w14:textId="452B9856">
      <w:pPr>
        <w:pStyle w:val="Normal"/>
        <w:spacing w:line="240" w:lineRule="auto"/>
        <w:jc w:val="center"/>
        <w:rPr>
          <w:rFonts w:ascii="Arial" w:hAnsi="Arial" w:eastAsia="Arial" w:cs="Arial"/>
          <w:b w:val="0"/>
          <w:bCs w:val="0"/>
          <w:i w:val="0"/>
          <w:iCs w:val="0"/>
          <w:caps w:val="0"/>
          <w:smallCaps w:val="0"/>
          <w:noProof w:val="0"/>
          <w:color w:val="auto" w:themeColor="text1" w:themeTint="FF" w:themeShade="FF"/>
          <w:sz w:val="24"/>
          <w:szCs w:val="24"/>
          <w:lang w:val="en-US"/>
        </w:rPr>
      </w:pPr>
      <w:r w:rsidRPr="45CAAEDF" w:rsidR="45CAAEDF">
        <w:rPr>
          <w:rFonts w:ascii="Arial" w:hAnsi="Arial" w:eastAsia="Arial" w:cs="Arial"/>
          <w:b w:val="0"/>
          <w:bCs w:val="0"/>
          <w:i w:val="0"/>
          <w:iCs w:val="0"/>
          <w:caps w:val="0"/>
          <w:smallCaps w:val="0"/>
          <w:color w:val="auto"/>
          <w:sz w:val="24"/>
          <w:szCs w:val="24"/>
        </w:rPr>
        <w:t>Pablo Antonio Guevara</w:t>
      </w:r>
    </w:p>
    <w:p w:rsidR="648EE844" w:rsidP="45CAAEDF" w:rsidRDefault="648EE844" w14:paraId="5DE68DE6" w14:textId="6636DF55">
      <w:pPr>
        <w:pStyle w:val="Normal"/>
        <w:spacing w:line="240" w:lineRule="auto"/>
        <w:jc w:val="center"/>
        <w:rPr>
          <w:rFonts w:ascii="Arial" w:hAnsi="Arial" w:eastAsia="Arial" w:cs="Arial"/>
          <w:b w:val="0"/>
          <w:bCs w:val="0"/>
          <w:i w:val="0"/>
          <w:iCs w:val="0"/>
          <w:caps w:val="0"/>
          <w:smallCaps w:val="0"/>
          <w:noProof w:val="0"/>
          <w:color w:val="auto" w:themeColor="text1" w:themeTint="FF" w:themeShade="FF"/>
          <w:sz w:val="24"/>
          <w:szCs w:val="24"/>
          <w:lang w:val="en-US"/>
        </w:rPr>
      </w:pPr>
      <w:r w:rsidRPr="45CAAEDF" w:rsidR="45CAAEDF">
        <w:rPr>
          <w:rFonts w:ascii="Arial" w:hAnsi="Arial" w:eastAsia="Arial" w:cs="Arial"/>
          <w:b w:val="0"/>
          <w:bCs w:val="0"/>
          <w:i w:val="0"/>
          <w:iCs w:val="0"/>
          <w:caps w:val="0"/>
          <w:smallCaps w:val="0"/>
          <w:color w:val="auto"/>
          <w:sz w:val="24"/>
          <w:szCs w:val="24"/>
        </w:rPr>
        <w:t>Ricardo García Ramírez</w:t>
      </w:r>
    </w:p>
    <w:p w:rsidR="648EE844" w:rsidP="45CAAEDF" w:rsidRDefault="648EE844" w14:paraId="20E967FF" w14:textId="34932EFC">
      <w:pPr>
        <w:pStyle w:val="Normal"/>
        <w:spacing w:line="240" w:lineRule="auto"/>
        <w:jc w:val="center"/>
        <w:rPr>
          <w:rFonts w:ascii="Arial" w:hAnsi="Arial" w:eastAsia="Arial" w:cs="Arial"/>
          <w:b w:val="0"/>
          <w:bCs w:val="0"/>
          <w:i w:val="0"/>
          <w:iCs w:val="0"/>
          <w:caps w:val="0"/>
          <w:smallCaps w:val="0"/>
          <w:noProof w:val="0"/>
          <w:color w:val="auto" w:themeColor="text1" w:themeTint="FF" w:themeShade="FF"/>
          <w:sz w:val="24"/>
          <w:szCs w:val="24"/>
          <w:lang w:val="es-419"/>
        </w:rPr>
      </w:pPr>
      <w:r w:rsidRPr="45CAAEDF" w:rsidR="45CAAEDF">
        <w:rPr>
          <w:rFonts w:ascii="Arial" w:hAnsi="Arial" w:eastAsia="Arial" w:cs="Arial"/>
          <w:b w:val="0"/>
          <w:bCs w:val="0"/>
          <w:i w:val="0"/>
          <w:iCs w:val="0"/>
          <w:caps w:val="0"/>
          <w:smallCaps w:val="0"/>
          <w:color w:val="auto"/>
          <w:sz w:val="24"/>
          <w:szCs w:val="24"/>
        </w:rPr>
        <w:t>Tomás Hansen Ibáñez</w:t>
      </w:r>
    </w:p>
    <w:p w:rsidR="648EE844" w:rsidP="45CAAEDF" w:rsidRDefault="648EE844" w14:paraId="6C83A669" w14:textId="1181093F">
      <w:pPr>
        <w:spacing w:line="240" w:lineRule="auto"/>
        <w:ind w:left="6480"/>
        <w:jc w:val="center"/>
        <w:rPr>
          <w:rFonts w:ascii="Arial" w:hAnsi="Arial" w:eastAsia="Arial" w:cs="Arial"/>
          <w:b w:val="0"/>
          <w:bCs w:val="0"/>
          <w:i w:val="0"/>
          <w:iCs w:val="0"/>
          <w:caps w:val="0"/>
          <w:smallCaps w:val="0"/>
          <w:noProof w:val="0"/>
          <w:color w:val="auto" w:themeColor="text1" w:themeTint="FF" w:themeShade="FF"/>
          <w:sz w:val="24"/>
          <w:szCs w:val="24"/>
          <w:lang w:val="en-US"/>
        </w:rPr>
      </w:pPr>
      <w:r>
        <w:br/>
      </w:r>
    </w:p>
    <w:p w:rsidR="7D882986" w:rsidP="45CAAEDF" w:rsidRDefault="7D882986" w14:paraId="5FD2F9E8" w14:textId="5C0F276B">
      <w:pPr>
        <w:spacing w:line="240" w:lineRule="auto"/>
        <w:ind w:left="6480"/>
        <w:jc w:val="center"/>
        <w:rPr>
          <w:rFonts w:ascii="Arial" w:hAnsi="Arial" w:eastAsia="Arial" w:cs="Arial"/>
          <w:b w:val="0"/>
          <w:bCs w:val="0"/>
          <w:i w:val="0"/>
          <w:iCs w:val="0"/>
          <w:caps w:val="0"/>
          <w:smallCaps w:val="0"/>
          <w:noProof w:val="0"/>
          <w:color w:val="auto" w:themeColor="text1" w:themeTint="FF" w:themeShade="FF"/>
          <w:sz w:val="24"/>
          <w:szCs w:val="24"/>
          <w:lang w:val="en-US"/>
        </w:rPr>
      </w:pPr>
    </w:p>
    <w:p w:rsidR="7D882986" w:rsidP="45CAAEDF" w:rsidRDefault="7D882986" w14:paraId="179AB1F7" w14:textId="04905C6D">
      <w:pPr>
        <w:spacing w:line="240" w:lineRule="auto"/>
        <w:ind w:left="6480"/>
        <w:jc w:val="center"/>
        <w:rPr>
          <w:rFonts w:ascii="Arial" w:hAnsi="Arial" w:eastAsia="Arial" w:cs="Arial"/>
          <w:b w:val="0"/>
          <w:bCs w:val="0"/>
          <w:i w:val="0"/>
          <w:iCs w:val="0"/>
          <w:caps w:val="0"/>
          <w:smallCaps w:val="0"/>
          <w:noProof w:val="0"/>
          <w:color w:val="auto" w:themeColor="text1" w:themeTint="FF" w:themeShade="FF"/>
          <w:sz w:val="24"/>
          <w:szCs w:val="24"/>
          <w:lang w:val="en-US"/>
        </w:rPr>
      </w:pPr>
    </w:p>
    <w:p w:rsidR="648EE844" w:rsidP="45CAAEDF" w:rsidRDefault="648EE844" w14:paraId="44099ED9" w14:textId="0C3DED0E">
      <w:pPr>
        <w:spacing w:line="240" w:lineRule="auto"/>
        <w:jc w:val="center"/>
        <w:rPr>
          <w:rFonts w:ascii="Arial" w:hAnsi="Arial" w:eastAsia="Arial" w:cs="Arial"/>
          <w:b w:val="0"/>
          <w:bCs w:val="0"/>
          <w:i w:val="0"/>
          <w:iCs w:val="0"/>
          <w:caps w:val="0"/>
          <w:smallCaps w:val="0"/>
          <w:noProof w:val="0"/>
          <w:color w:val="auto" w:themeColor="text1" w:themeTint="FF" w:themeShade="FF"/>
          <w:sz w:val="24"/>
          <w:szCs w:val="24"/>
          <w:lang w:val="en-US"/>
        </w:rPr>
      </w:pPr>
      <w:r w:rsidRPr="45CAAEDF" w:rsidR="45CAAEDF">
        <w:rPr>
          <w:rFonts w:ascii="Arial" w:hAnsi="Arial" w:eastAsia="Arial" w:cs="Arial"/>
          <w:b w:val="0"/>
          <w:bCs w:val="0"/>
          <w:i w:val="0"/>
          <w:iCs w:val="0"/>
          <w:caps w:val="0"/>
          <w:smallCaps w:val="0"/>
          <w:color w:val="auto"/>
          <w:sz w:val="24"/>
          <w:szCs w:val="24"/>
        </w:rPr>
        <w:t>Julio</w:t>
      </w:r>
      <w:r w:rsidRPr="45CAAEDF" w:rsidR="45CAAEDF">
        <w:rPr>
          <w:rFonts w:ascii="Arial" w:hAnsi="Arial" w:eastAsia="Arial" w:cs="Arial"/>
          <w:b w:val="0"/>
          <w:bCs w:val="0"/>
          <w:i w:val="0"/>
          <w:iCs w:val="0"/>
          <w:caps w:val="0"/>
          <w:smallCaps w:val="0"/>
          <w:color w:val="auto"/>
          <w:sz w:val="24"/>
          <w:szCs w:val="24"/>
        </w:rPr>
        <w:t xml:space="preserve"> 202</w:t>
      </w:r>
      <w:r w:rsidRPr="45CAAEDF" w:rsidR="45CAAEDF">
        <w:rPr>
          <w:rFonts w:ascii="Arial" w:hAnsi="Arial" w:eastAsia="Arial" w:cs="Arial"/>
          <w:b w:val="0"/>
          <w:bCs w:val="0"/>
          <w:i w:val="0"/>
          <w:iCs w:val="0"/>
          <w:caps w:val="0"/>
          <w:smallCaps w:val="0"/>
          <w:color w:val="auto"/>
          <w:sz w:val="24"/>
          <w:szCs w:val="24"/>
        </w:rPr>
        <w:t>5</w:t>
      </w:r>
    </w:p>
    <w:p w:rsidR="4BEE8425" w:rsidP="45CAAEDF" w:rsidRDefault="4BEE8425" w14:paraId="76F3073C" w14:textId="52EF168A">
      <w:pPr>
        <w:spacing w:line="240" w:lineRule="auto"/>
        <w:jc w:val="both"/>
        <w:rPr>
          <w:rFonts w:ascii="Arial" w:hAnsi="Arial" w:eastAsia="Arial" w:cs="Arial"/>
          <w:color w:val="auto"/>
          <w:sz w:val="24"/>
          <w:szCs w:val="24"/>
        </w:rPr>
      </w:pPr>
      <w:r w:rsidRPr="45CAAEDF">
        <w:rPr>
          <w:rFonts w:ascii="Arial" w:hAnsi="Arial" w:eastAsia="Arial" w:cs="Arial"/>
          <w:color w:val="auto"/>
          <w:sz w:val="24"/>
          <w:szCs w:val="24"/>
        </w:rPr>
        <w:br w:type="page"/>
      </w:r>
    </w:p>
    <w:p w:rsidR="648EE844" w:rsidP="45CAAEDF" w:rsidRDefault="648EE844" w14:paraId="5EDB9EEC" w14:textId="5798A8BB">
      <w:pPr>
        <w:keepNext w:val="1"/>
        <w:keepLines w:val="1"/>
        <w:spacing w:before="240" w:after="0" w:line="240" w:lineRule="auto"/>
        <w:jc w:val="both"/>
        <w:rPr>
          <w:rFonts w:ascii="Arial" w:hAnsi="Arial" w:eastAsia="Arial" w:cs="Arial"/>
          <w:b w:val="0"/>
          <w:bCs w:val="0"/>
          <w:i w:val="0"/>
          <w:iCs w:val="0"/>
          <w:caps w:val="0"/>
          <w:smallCaps w:val="0"/>
          <w:noProof w:val="0"/>
          <w:color w:val="auto" w:themeColor="accent1" w:themeTint="FF" w:themeShade="BF"/>
          <w:sz w:val="24"/>
          <w:szCs w:val="24"/>
          <w:lang w:val="en-US"/>
        </w:rPr>
      </w:pPr>
      <w:r w:rsidRPr="45CAAEDF" w:rsidR="45CAAEDF">
        <w:rPr>
          <w:rFonts w:ascii="Arial" w:hAnsi="Arial" w:eastAsia="Arial" w:cs="Arial"/>
          <w:b w:val="0"/>
          <w:bCs w:val="0"/>
          <w:i w:val="0"/>
          <w:iCs w:val="0"/>
          <w:caps w:val="0"/>
          <w:smallCaps w:val="0"/>
          <w:color w:val="auto"/>
          <w:sz w:val="24"/>
          <w:szCs w:val="24"/>
        </w:rPr>
        <w:t xml:space="preserve">  </w:t>
      </w:r>
      <w:r w:rsidRPr="45CAAEDF" w:rsidR="45CAAEDF">
        <w:rPr>
          <w:rFonts w:ascii="Arial" w:hAnsi="Arial" w:eastAsia="Arial" w:cs="Arial"/>
          <w:b w:val="0"/>
          <w:bCs w:val="0"/>
          <w:i w:val="0"/>
          <w:iCs w:val="0"/>
          <w:caps w:val="0"/>
          <w:smallCaps w:val="0"/>
          <w:color w:val="auto"/>
          <w:sz w:val="24"/>
          <w:szCs w:val="24"/>
        </w:rPr>
        <w:t>Contenido</w:t>
      </w:r>
    </w:p>
    <w:sdt>
      <w:sdtPr>
        <w:id w:val="1066291680"/>
        <w:docPartObj>
          <w:docPartGallery w:val="Table of Contents"/>
          <w:docPartUnique/>
        </w:docPartObj>
      </w:sdtPr>
      <w:sdtContent>
        <w:p w:rsidR="15198728" w:rsidP="45CAAEDF" w:rsidRDefault="15198728" w14:paraId="5EAA1FE6" w14:textId="4E5ED7ED">
          <w:pPr>
            <w:pStyle w:val="TOC1"/>
            <w:tabs>
              <w:tab w:val="right" w:leader="underscore" w:pos="9360"/>
            </w:tabs>
            <w:bidi w:val="0"/>
            <w:rPr>
              <w:rStyle w:val="Hyperlink"/>
            </w:rPr>
          </w:pPr>
          <w:r>
            <w:fldChar w:fldCharType="begin"/>
          </w:r>
          <w:r>
            <w:instrText xml:space="preserve">TOC \o "1-3" \z \u \h</w:instrText>
          </w:r>
          <w:r>
            <w:fldChar w:fldCharType="separate"/>
          </w:r>
          <w:hyperlink w:anchor="_Toc1238728955">
            <w:r w:rsidRPr="45CAAEDF" w:rsidR="45CAAEDF">
              <w:rPr>
                <w:rStyle w:val="Hyperlink"/>
              </w:rPr>
              <w:t>Introducción</w:t>
            </w:r>
            <w:r>
              <w:tab/>
            </w:r>
            <w:r>
              <w:fldChar w:fldCharType="begin"/>
            </w:r>
            <w:r>
              <w:instrText xml:space="preserve">PAGEREF _Toc1238728955 \h</w:instrText>
            </w:r>
            <w:r>
              <w:fldChar w:fldCharType="separate"/>
            </w:r>
            <w:r w:rsidRPr="45CAAEDF" w:rsidR="45CAAEDF">
              <w:rPr>
                <w:rStyle w:val="Hyperlink"/>
              </w:rPr>
              <w:t>2</w:t>
            </w:r>
            <w:r>
              <w:fldChar w:fldCharType="end"/>
            </w:r>
          </w:hyperlink>
        </w:p>
        <w:p w:rsidR="15198728" w:rsidP="45CAAEDF" w:rsidRDefault="15198728" w14:paraId="6C48A504" w14:textId="56AD1799">
          <w:pPr>
            <w:pStyle w:val="TOC1"/>
            <w:tabs>
              <w:tab w:val="right" w:leader="underscore" w:pos="9360"/>
            </w:tabs>
            <w:bidi w:val="0"/>
            <w:rPr>
              <w:rStyle w:val="Hyperlink"/>
            </w:rPr>
          </w:pPr>
          <w:hyperlink w:anchor="_Toc1849339233">
            <w:r w:rsidRPr="45CAAEDF" w:rsidR="45CAAEDF">
              <w:rPr>
                <w:rStyle w:val="Hyperlink"/>
              </w:rPr>
              <w:t>Información del dataset</w:t>
            </w:r>
            <w:r>
              <w:tab/>
            </w:r>
            <w:r>
              <w:fldChar w:fldCharType="begin"/>
            </w:r>
            <w:r>
              <w:instrText xml:space="preserve">PAGEREF _Toc1849339233 \h</w:instrText>
            </w:r>
            <w:r>
              <w:fldChar w:fldCharType="separate"/>
            </w:r>
            <w:r w:rsidRPr="45CAAEDF" w:rsidR="45CAAEDF">
              <w:rPr>
                <w:rStyle w:val="Hyperlink"/>
              </w:rPr>
              <w:t>3</w:t>
            </w:r>
            <w:r>
              <w:fldChar w:fldCharType="end"/>
            </w:r>
          </w:hyperlink>
        </w:p>
        <w:p w:rsidR="15198728" w:rsidP="45CAAEDF" w:rsidRDefault="15198728" w14:paraId="5024CAEF" w14:textId="27C0E18A">
          <w:pPr>
            <w:pStyle w:val="TOC1"/>
            <w:tabs>
              <w:tab w:val="right" w:leader="underscore" w:pos="9360"/>
            </w:tabs>
            <w:bidi w:val="0"/>
            <w:rPr>
              <w:rStyle w:val="Hyperlink"/>
            </w:rPr>
          </w:pPr>
          <w:hyperlink w:anchor="_Toc1139593958">
            <w:r w:rsidRPr="45CAAEDF" w:rsidR="45CAAEDF">
              <w:rPr>
                <w:rStyle w:val="Hyperlink"/>
              </w:rPr>
              <w:t>Objetivos</w:t>
            </w:r>
            <w:r>
              <w:tab/>
            </w:r>
            <w:r>
              <w:fldChar w:fldCharType="begin"/>
            </w:r>
            <w:r>
              <w:instrText xml:space="preserve">PAGEREF _Toc1139593958 \h</w:instrText>
            </w:r>
            <w:r>
              <w:fldChar w:fldCharType="separate"/>
            </w:r>
            <w:r w:rsidRPr="45CAAEDF" w:rsidR="45CAAEDF">
              <w:rPr>
                <w:rStyle w:val="Hyperlink"/>
              </w:rPr>
              <w:t>4</w:t>
            </w:r>
            <w:r>
              <w:fldChar w:fldCharType="end"/>
            </w:r>
          </w:hyperlink>
        </w:p>
        <w:p w:rsidR="15198728" w:rsidP="45CAAEDF" w:rsidRDefault="15198728" w14:paraId="2D73277D" w14:textId="44050708">
          <w:pPr>
            <w:pStyle w:val="TOC1"/>
            <w:tabs>
              <w:tab w:val="right" w:leader="underscore" w:pos="9360"/>
            </w:tabs>
            <w:bidi w:val="0"/>
            <w:rPr>
              <w:rStyle w:val="Hyperlink"/>
            </w:rPr>
          </w:pPr>
          <w:hyperlink w:anchor="_Toc346260429">
            <w:r w:rsidRPr="45CAAEDF" w:rsidR="45CAAEDF">
              <w:rPr>
                <w:rStyle w:val="Hyperlink"/>
              </w:rPr>
              <w:t>Resultados</w:t>
            </w:r>
            <w:r>
              <w:tab/>
            </w:r>
            <w:r>
              <w:fldChar w:fldCharType="begin"/>
            </w:r>
            <w:r>
              <w:instrText xml:space="preserve">PAGEREF _Toc346260429 \h</w:instrText>
            </w:r>
            <w:r>
              <w:fldChar w:fldCharType="separate"/>
            </w:r>
            <w:r w:rsidRPr="45CAAEDF" w:rsidR="45CAAEDF">
              <w:rPr>
                <w:rStyle w:val="Hyperlink"/>
              </w:rPr>
              <w:t>4</w:t>
            </w:r>
            <w:r>
              <w:fldChar w:fldCharType="end"/>
            </w:r>
          </w:hyperlink>
        </w:p>
        <w:p w:rsidR="15198728" w:rsidP="45CAAEDF" w:rsidRDefault="15198728" w14:paraId="21589825" w14:textId="0F9283EA">
          <w:pPr>
            <w:pStyle w:val="TOC3"/>
            <w:tabs>
              <w:tab w:val="right" w:leader="underscore" w:pos="9360"/>
            </w:tabs>
            <w:bidi w:val="0"/>
            <w:rPr>
              <w:rStyle w:val="Hyperlink"/>
            </w:rPr>
          </w:pPr>
          <w:hyperlink w:anchor="_Toc1431613920">
            <w:r w:rsidRPr="45CAAEDF" w:rsidR="45CAAEDF">
              <w:rPr>
                <w:rStyle w:val="Hyperlink"/>
              </w:rPr>
              <w:t>a. Análisis exploratorio</w:t>
            </w:r>
            <w:r>
              <w:tab/>
            </w:r>
            <w:r>
              <w:fldChar w:fldCharType="begin"/>
            </w:r>
            <w:r>
              <w:instrText xml:space="preserve">PAGEREF _Toc1431613920 \h</w:instrText>
            </w:r>
            <w:r>
              <w:fldChar w:fldCharType="separate"/>
            </w:r>
            <w:r w:rsidRPr="45CAAEDF" w:rsidR="45CAAEDF">
              <w:rPr>
                <w:rStyle w:val="Hyperlink"/>
              </w:rPr>
              <w:t>5</w:t>
            </w:r>
            <w:r>
              <w:fldChar w:fldCharType="end"/>
            </w:r>
          </w:hyperlink>
        </w:p>
        <w:p w:rsidR="15198728" w:rsidP="45CAAEDF" w:rsidRDefault="15198728" w14:paraId="1ED6B87F" w14:textId="20371D2C">
          <w:pPr>
            <w:pStyle w:val="TOC3"/>
            <w:tabs>
              <w:tab w:val="right" w:leader="underscore" w:pos="9360"/>
            </w:tabs>
            <w:bidi w:val="0"/>
            <w:rPr>
              <w:rStyle w:val="Hyperlink"/>
            </w:rPr>
          </w:pPr>
          <w:hyperlink w:anchor="_Toc851180657">
            <w:r w:rsidRPr="45CAAEDF" w:rsidR="45CAAEDF">
              <w:rPr>
                <w:rStyle w:val="Hyperlink"/>
              </w:rPr>
              <w:t>b. Modelado y selección de modelo</w:t>
            </w:r>
            <w:r>
              <w:tab/>
            </w:r>
            <w:r>
              <w:fldChar w:fldCharType="begin"/>
            </w:r>
            <w:r>
              <w:instrText xml:space="preserve">PAGEREF _Toc851180657 \h</w:instrText>
            </w:r>
            <w:r>
              <w:fldChar w:fldCharType="separate"/>
            </w:r>
            <w:r w:rsidRPr="45CAAEDF" w:rsidR="45CAAEDF">
              <w:rPr>
                <w:rStyle w:val="Hyperlink"/>
              </w:rPr>
              <w:t>8</w:t>
            </w:r>
            <w:r>
              <w:fldChar w:fldCharType="end"/>
            </w:r>
          </w:hyperlink>
        </w:p>
        <w:p w:rsidR="15198728" w:rsidP="45CAAEDF" w:rsidRDefault="15198728" w14:paraId="63D57EEA" w14:textId="7AA9FF7A">
          <w:pPr>
            <w:pStyle w:val="TOC3"/>
            <w:tabs>
              <w:tab w:val="right" w:leader="underscore" w:pos="9360"/>
            </w:tabs>
            <w:bidi w:val="0"/>
            <w:rPr>
              <w:rStyle w:val="Hyperlink"/>
            </w:rPr>
          </w:pPr>
          <w:hyperlink w:anchor="_Toc390578191">
            <w:r w:rsidRPr="45CAAEDF" w:rsidR="45CAAEDF">
              <w:rPr>
                <w:rStyle w:val="Hyperlink"/>
              </w:rPr>
              <w:t>c. Predicción y visualización</w:t>
            </w:r>
            <w:r>
              <w:tab/>
            </w:r>
            <w:r>
              <w:fldChar w:fldCharType="begin"/>
            </w:r>
            <w:r>
              <w:instrText xml:space="preserve">PAGEREF _Toc390578191 \h</w:instrText>
            </w:r>
            <w:r>
              <w:fldChar w:fldCharType="separate"/>
            </w:r>
            <w:r w:rsidRPr="45CAAEDF" w:rsidR="45CAAEDF">
              <w:rPr>
                <w:rStyle w:val="Hyperlink"/>
              </w:rPr>
              <w:t>12</w:t>
            </w:r>
            <w:r>
              <w:fldChar w:fldCharType="end"/>
            </w:r>
          </w:hyperlink>
        </w:p>
        <w:p w:rsidR="45CAAEDF" w:rsidP="45CAAEDF" w:rsidRDefault="45CAAEDF" w14:paraId="16024ACD" w14:textId="7ABBA428">
          <w:pPr>
            <w:pStyle w:val="TOC1"/>
            <w:tabs>
              <w:tab w:val="right" w:leader="underscore" w:pos="9360"/>
            </w:tabs>
            <w:bidi w:val="0"/>
            <w:rPr>
              <w:rStyle w:val="Hyperlink"/>
            </w:rPr>
          </w:pPr>
          <w:hyperlink w:anchor="_Toc648096487">
            <w:r w:rsidRPr="45CAAEDF" w:rsidR="45CAAEDF">
              <w:rPr>
                <w:rStyle w:val="Hyperlink"/>
              </w:rPr>
              <w:t>Conclusión</w:t>
            </w:r>
            <w:r>
              <w:tab/>
            </w:r>
            <w:r>
              <w:fldChar w:fldCharType="begin"/>
            </w:r>
            <w:r>
              <w:instrText xml:space="preserve">PAGEREF _Toc648096487 \h</w:instrText>
            </w:r>
            <w:r>
              <w:fldChar w:fldCharType="separate"/>
            </w:r>
            <w:r w:rsidRPr="45CAAEDF" w:rsidR="45CAAEDF">
              <w:rPr>
                <w:rStyle w:val="Hyperlink"/>
              </w:rPr>
              <w:t>15</w:t>
            </w:r>
            <w:r>
              <w:fldChar w:fldCharType="end"/>
            </w:r>
          </w:hyperlink>
        </w:p>
        <w:p w:rsidR="45CAAEDF" w:rsidP="45CAAEDF" w:rsidRDefault="45CAAEDF" w14:paraId="4F859F56" w14:textId="6949EF7C">
          <w:pPr>
            <w:pStyle w:val="TOC1"/>
            <w:tabs>
              <w:tab w:val="right" w:leader="underscore" w:pos="9360"/>
            </w:tabs>
            <w:bidi w:val="0"/>
            <w:rPr>
              <w:rStyle w:val="Hyperlink"/>
            </w:rPr>
          </w:pPr>
          <w:hyperlink w:anchor="_Toc45229560">
            <w:r w:rsidRPr="45CAAEDF" w:rsidR="45CAAEDF">
              <w:rPr>
                <w:rStyle w:val="Hyperlink"/>
              </w:rPr>
              <w:t>Referencias</w:t>
            </w:r>
            <w:r>
              <w:tab/>
            </w:r>
            <w:r>
              <w:fldChar w:fldCharType="begin"/>
            </w:r>
            <w:r>
              <w:instrText xml:space="preserve">PAGEREF _Toc45229560 \h</w:instrText>
            </w:r>
            <w:r>
              <w:fldChar w:fldCharType="separate"/>
            </w:r>
            <w:r w:rsidRPr="45CAAEDF" w:rsidR="45CAAEDF">
              <w:rPr>
                <w:rStyle w:val="Hyperlink"/>
              </w:rPr>
              <w:t>16</w:t>
            </w:r>
            <w:r>
              <w:fldChar w:fldCharType="end"/>
            </w:r>
          </w:hyperlink>
          <w:r>
            <w:fldChar w:fldCharType="end"/>
          </w:r>
        </w:p>
      </w:sdtContent>
    </w:sdt>
    <w:p w:rsidR="15198728" w:rsidP="45CAAEDF" w:rsidRDefault="15198728" w14:paraId="23CEEB27" w14:textId="4A2F65DD">
      <w:pPr>
        <w:keepNext w:val="1"/>
        <w:keepLines w:val="1"/>
        <w:spacing w:before="240" w:after="0" w:line="240" w:lineRule="auto"/>
        <w:jc w:val="both"/>
        <w:rPr>
          <w:rFonts w:ascii="Arial" w:hAnsi="Arial" w:eastAsia="Arial" w:cs="Arial"/>
          <w:b w:val="0"/>
          <w:bCs w:val="0"/>
          <w:i w:val="0"/>
          <w:iCs w:val="0"/>
          <w:caps w:val="0"/>
          <w:smallCaps w:val="0"/>
          <w:noProof w:val="0"/>
          <w:color w:val="auto" w:themeColor="accent1" w:themeTint="FF" w:themeShade="BF"/>
          <w:sz w:val="24"/>
          <w:szCs w:val="24"/>
          <w:lang w:val="es-CL"/>
        </w:rPr>
      </w:pPr>
    </w:p>
    <w:p w:rsidR="7D882986" w:rsidP="45CAAEDF" w:rsidRDefault="7D882986" w14:paraId="5C2B98E8" w14:textId="0BB0E213">
      <w:pPr>
        <w:spacing w:line="240" w:lineRule="auto"/>
        <w:jc w:val="both"/>
        <w:rPr>
          <w:rFonts w:ascii="Arial" w:hAnsi="Arial" w:eastAsia="Arial" w:cs="Arial"/>
          <w:color w:val="auto"/>
          <w:sz w:val="24"/>
          <w:szCs w:val="24"/>
        </w:rPr>
      </w:pPr>
      <w:r w:rsidRPr="45CAAEDF">
        <w:rPr>
          <w:rFonts w:ascii="Arial" w:hAnsi="Arial" w:eastAsia="Arial" w:cs="Arial"/>
          <w:color w:val="auto"/>
          <w:sz w:val="24"/>
          <w:szCs w:val="24"/>
        </w:rPr>
        <w:br w:type="page"/>
      </w:r>
    </w:p>
    <w:p w:rsidR="7D882986" w:rsidP="45CAAEDF" w:rsidRDefault="7D882986" w14:paraId="3EBDFE80" w14:textId="6B873862">
      <w:pPr>
        <w:pStyle w:val="Heading1"/>
        <w:keepNext w:val="1"/>
        <w:keepLines w:val="1"/>
        <w:spacing w:before="360" w:after="80" w:line="240" w:lineRule="auto"/>
        <w:jc w:val="both"/>
        <w:rPr>
          <w:rFonts w:ascii="Arial" w:hAnsi="Arial" w:eastAsia="Arial" w:cs="Arial"/>
          <w:b w:val="1"/>
          <w:bCs w:val="1"/>
          <w:noProof w:val="0"/>
          <w:color w:val="auto"/>
          <w:sz w:val="24"/>
          <w:szCs w:val="24"/>
          <w:lang w:val="en-US"/>
        </w:rPr>
      </w:pPr>
      <w:bookmarkStart w:name="_Toc339944152" w:id="781675003"/>
      <w:bookmarkStart w:name="_Toc1238728955" w:id="395790314"/>
      <w:r w:rsidRPr="45CAAEDF" w:rsidR="45CAAEDF">
        <w:rPr>
          <w:rFonts w:ascii="Arial" w:hAnsi="Arial" w:eastAsia="Arial" w:cs="Arial"/>
          <w:b w:val="1"/>
          <w:bCs w:val="1"/>
          <w:i w:val="0"/>
          <w:iCs w:val="0"/>
          <w:caps w:val="0"/>
          <w:smallCaps w:val="0"/>
          <w:color w:val="auto"/>
          <w:sz w:val="24"/>
          <w:szCs w:val="24"/>
        </w:rPr>
        <w:t>Introducción</w:t>
      </w:r>
      <w:bookmarkEnd w:id="781675003"/>
      <w:bookmarkEnd w:id="395790314"/>
    </w:p>
    <w:p w:rsidR="45CAAEDF" w:rsidP="45CAAEDF" w:rsidRDefault="45CAAEDF" w14:paraId="0E444F63" w14:textId="47C24866">
      <w:pPr>
        <w:spacing w:before="240" w:beforeAutospacing="off" w:after="240" w:afterAutospacing="off"/>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El oro ha sido históricamente un activo financiero clave a nivel global, valorado tanto por su función como reserva de valor como por su capacidad para ofrecer cobertura frente a la inflación y la volatilidad económica, especialmente en contextos de incertidumbre (</w:t>
      </w:r>
      <w:r w:rsidRPr="45CAAEDF" w:rsidR="45CAAEDF">
        <w:rPr>
          <w:rFonts w:ascii="Arial" w:hAnsi="Arial" w:eastAsia="Arial" w:cs="Arial"/>
          <w:noProof w:val="0"/>
          <w:sz w:val="24"/>
          <w:szCs w:val="24"/>
          <w:lang w:val="es-CL"/>
        </w:rPr>
        <w:t>World</w:t>
      </w:r>
      <w:r w:rsidRPr="45CAAEDF" w:rsidR="45CAAEDF">
        <w:rPr>
          <w:rFonts w:ascii="Arial" w:hAnsi="Arial" w:eastAsia="Arial" w:cs="Arial"/>
          <w:noProof w:val="0"/>
          <w:sz w:val="24"/>
          <w:szCs w:val="24"/>
          <w:lang w:val="es-CL"/>
        </w:rPr>
        <w:t xml:space="preserve"> Gold Council, 2023). En los últimos años, su cotización ha mostrado una creciente sensibilidad ante factores como la incertidumbre global, los movimientos inflacionarios y las decisiones de política monetaria de las principales economías.</w:t>
      </w:r>
    </w:p>
    <w:p w:rsidR="45CAAEDF" w:rsidP="45CAAEDF" w:rsidRDefault="45CAAEDF" w14:paraId="3389A010" w14:textId="237DAE0E">
      <w:pPr>
        <w:spacing w:before="240" w:beforeAutospacing="off" w:after="240" w:afterAutospacing="off"/>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Comprender la dinámica del precio del oro es esencial para inversores, analistas económicos y responsables de políticas públicas. Su análisis permite no solo mejorar la toma de decisiones financieras, sino también anticipar escenarios de riesgo y entender con mayor profundidad la lógica de los mercados en contextos volátiles.</w:t>
      </w:r>
    </w:p>
    <w:p w:rsidR="45CAAEDF" w:rsidP="45CAAEDF" w:rsidRDefault="45CAAEDF" w14:paraId="0FD1AE12" w14:textId="4D45B4F9">
      <w:pPr>
        <w:spacing w:before="240" w:beforeAutospacing="off" w:after="240" w:afterAutospacing="off"/>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En este contexto, el presente trabajo tiene como objetivo analizar el comportamiento mensual del precio del oro (expresado en USD por onza troy) mediante modelos de series de tiempo. Estos modelos, ampliamente utilizados en finanzas, permiten capturar patrones, tendencias y estacionalidades que explican la evolución del precio a lo largo del tiempo (Box et al., 2015).</w:t>
      </w:r>
    </w:p>
    <w:p w:rsidR="45CAAEDF" w:rsidP="45CAAEDF" w:rsidRDefault="45CAAEDF" w14:paraId="1D5F3439" w14:textId="788E8D7E">
      <w:pPr>
        <w:pStyle w:val="Heading1"/>
        <w:keepNext w:val="1"/>
        <w:keepLines w:val="1"/>
        <w:spacing w:before="360" w:after="80" w:line="240" w:lineRule="auto"/>
        <w:jc w:val="both"/>
        <w:rPr>
          <w:rFonts w:ascii="Arial" w:hAnsi="Arial" w:eastAsia="Arial" w:cs="Arial"/>
          <w:b w:val="1"/>
          <w:bCs w:val="1"/>
          <w:color w:val="auto"/>
          <w:sz w:val="24"/>
          <w:szCs w:val="24"/>
        </w:rPr>
      </w:pPr>
      <w:bookmarkStart w:name="_Toc431708999" w:id="1969974148"/>
      <w:bookmarkStart w:name="_Toc1849339233" w:id="1597560397"/>
      <w:r w:rsidRPr="45CAAEDF" w:rsidR="45CAAEDF">
        <w:rPr>
          <w:rFonts w:ascii="Arial" w:hAnsi="Arial" w:eastAsia="Arial" w:cs="Arial"/>
          <w:b w:val="1"/>
          <w:bCs w:val="1"/>
          <w:i w:val="0"/>
          <w:iCs w:val="0"/>
          <w:caps w:val="0"/>
          <w:smallCaps w:val="0"/>
          <w:color w:val="auto"/>
          <w:sz w:val="24"/>
          <w:szCs w:val="24"/>
        </w:rPr>
        <w:t xml:space="preserve">Información del </w:t>
      </w:r>
      <w:r w:rsidRPr="45CAAEDF" w:rsidR="45CAAEDF">
        <w:rPr>
          <w:rFonts w:ascii="Arial" w:hAnsi="Arial" w:eastAsia="Arial" w:cs="Arial"/>
          <w:b w:val="1"/>
          <w:bCs w:val="1"/>
          <w:i w:val="1"/>
          <w:iCs w:val="1"/>
          <w:caps w:val="0"/>
          <w:smallCaps w:val="0"/>
          <w:color w:val="auto"/>
          <w:sz w:val="24"/>
          <w:szCs w:val="24"/>
        </w:rPr>
        <w:t>dataset</w:t>
      </w:r>
      <w:bookmarkEnd w:id="1969974148"/>
      <w:bookmarkEnd w:id="1597560397"/>
    </w:p>
    <w:p w:rsidR="45CAAEDF" w:rsidP="45CAAEDF" w:rsidRDefault="45CAAEDF" w14:paraId="3E900DBB" w14:textId="0E00FFC3">
      <w:pPr>
        <w:pStyle w:val="Normal"/>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La calidad y representatividad de los datos son elementos fundamentales en cualquier análisis de series de tiempo, ya que determinan en gran medida la validez de los resultados obtenidos. Para este estudio, se utilizó una base de datos histórica de precios del oro, que proporciona una cobertura temporal amplia y una granularidad adecuada para los objetivos del análisis.</w:t>
      </w:r>
    </w:p>
    <w:p w:rsidR="45CAAEDF" w:rsidP="45CAAEDF" w:rsidRDefault="45CAAEDF" w14:paraId="403094F3" w14:textId="432C1588">
      <w:pPr>
        <w:pStyle w:val="Normal"/>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Los datos de los precios del oro se obtuvieron del repositorio público de </w:t>
      </w:r>
      <w:r w:rsidRPr="45CAAEDF" w:rsidR="45CAAEDF">
        <w:rPr>
          <w:rFonts w:ascii="Arial" w:hAnsi="Arial" w:eastAsia="Arial" w:cs="Arial"/>
          <w:color w:val="auto"/>
          <w:sz w:val="24"/>
          <w:szCs w:val="24"/>
        </w:rPr>
        <w:t>DataHub</w:t>
      </w:r>
      <w:r w:rsidRPr="45CAAEDF" w:rsidR="45CAAEDF">
        <w:rPr>
          <w:rFonts w:ascii="Arial" w:hAnsi="Arial" w:eastAsia="Arial" w:cs="Arial"/>
          <w:color w:val="auto"/>
          <w:sz w:val="24"/>
          <w:szCs w:val="24"/>
        </w:rPr>
        <w:t xml:space="preserve"> (https://datahub.io/core/gold-prices), una plataforma reconocida por ofrecer conjuntos de datos abiertos y confiables. </w:t>
      </w:r>
      <w:r w:rsidRPr="45CAAEDF" w:rsidR="45CAAEDF">
        <w:rPr>
          <w:rFonts w:ascii="Arial" w:hAnsi="Arial" w:eastAsia="Arial" w:cs="Arial"/>
          <w:color w:val="auto"/>
          <w:sz w:val="24"/>
          <w:szCs w:val="24"/>
        </w:rPr>
        <w:t>La base de datos original abarca precios mensuales desde el año 1833 hasta la actualidad, lo que garantiza tanto la fiabilidad como la trazabilidad de la información utilizada.</w:t>
      </w:r>
    </w:p>
    <w:p w:rsidR="45CAAEDF" w:rsidP="45CAAEDF" w:rsidRDefault="45CAAEDF" w14:paraId="1CCAD54A" w14:textId="0538FDF4">
      <w:pPr>
        <w:pStyle w:val="Normal"/>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En este trabajo se empleó un subconjunto de dicha base de datos, seleccionando las observaciones correspondientes al periodo comprendido entre enero de 2000 y junio de 2025. </w:t>
      </w:r>
      <w:r w:rsidRPr="45CAAEDF" w:rsidR="45CAAEDF">
        <w:rPr>
          <w:rFonts w:ascii="Arial" w:hAnsi="Arial" w:eastAsia="Arial" w:cs="Arial"/>
          <w:color w:val="auto"/>
          <w:sz w:val="24"/>
          <w:szCs w:val="24"/>
        </w:rPr>
        <w:t>Esta ventana temporal fue elegida con el propósito de capturar las dinámicas recientes y relevantes del mercado del oro.</w:t>
      </w:r>
      <w:r w:rsidRPr="45CAAEDF" w:rsidR="45CAAEDF">
        <w:rPr>
          <w:rFonts w:ascii="Arial" w:hAnsi="Arial" w:eastAsia="Arial" w:cs="Arial"/>
          <w:color w:val="auto"/>
          <w:sz w:val="24"/>
          <w:szCs w:val="24"/>
        </w:rPr>
        <w:t xml:space="preserve"> La frecuencia de los datos es mensual, y cada punto representa el precio de cierre del oro en dólares estadounidenses (USD).</w:t>
      </w:r>
    </w:p>
    <w:p w:rsidR="45CAAEDF" w:rsidP="45CAAEDF" w:rsidRDefault="45CAAEDF" w14:paraId="4FA5DCE8" w14:textId="6D705AA1">
      <w:pPr>
        <w:spacing w:before="240" w:beforeAutospacing="off" w:after="240" w:afterAutospacing="off" w:line="240" w:lineRule="auto"/>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 xml:space="preserve">Es importante señalar que se utiliza el precio de cierre, una métrica estándar en análisis financiero, ya que refleja el valor final de negociación de cada mes. </w:t>
      </w:r>
      <w:r w:rsidRPr="45CAAEDF" w:rsidR="45CAAEDF">
        <w:rPr>
          <w:rFonts w:ascii="Arial" w:hAnsi="Arial" w:eastAsia="Arial" w:cs="Arial"/>
          <w:noProof w:val="0"/>
          <w:sz w:val="24"/>
          <w:szCs w:val="24"/>
          <w:lang w:val="es-CL"/>
        </w:rPr>
        <w:t>Esta variable es especialmente útil para identificar tendencias y variaciones significativas a lo largo del tiempo.</w:t>
      </w:r>
    </w:p>
    <w:p w:rsidR="60004D45" w:rsidP="45CAAEDF" w:rsidRDefault="60004D45" w14:paraId="4DF380EE" w14:textId="2948709F">
      <w:pPr>
        <w:pStyle w:val="Heading1"/>
        <w:keepNext w:val="1"/>
        <w:keepLines w:val="1"/>
        <w:spacing w:before="360" w:after="80" w:line="240" w:lineRule="auto"/>
        <w:jc w:val="both"/>
        <w:rPr>
          <w:rFonts w:ascii="Arial" w:hAnsi="Arial" w:eastAsia="Arial" w:cs="Arial"/>
          <w:b w:val="1"/>
          <w:bCs w:val="1"/>
          <w:i w:val="0"/>
          <w:iCs w:val="0"/>
          <w:caps w:val="0"/>
          <w:smallCaps w:val="0"/>
          <w:noProof w:val="0"/>
          <w:color w:val="auto"/>
          <w:sz w:val="24"/>
          <w:szCs w:val="24"/>
          <w:lang w:val="en-US"/>
        </w:rPr>
      </w:pPr>
      <w:bookmarkStart w:name="_Toc1062373799" w:id="64313236"/>
      <w:bookmarkStart w:name="_Toc1139593958" w:id="824391004"/>
      <w:r w:rsidRPr="45CAAEDF" w:rsidR="45CAAEDF">
        <w:rPr>
          <w:rFonts w:ascii="Arial" w:hAnsi="Arial" w:eastAsia="Arial" w:cs="Arial"/>
          <w:b w:val="1"/>
          <w:bCs w:val="1"/>
          <w:i w:val="0"/>
          <w:iCs w:val="0"/>
          <w:caps w:val="0"/>
          <w:smallCaps w:val="0"/>
          <w:color w:val="auto"/>
          <w:sz w:val="24"/>
          <w:szCs w:val="24"/>
        </w:rPr>
        <w:t>Objetivos</w:t>
      </w:r>
      <w:bookmarkEnd w:id="64313236"/>
      <w:bookmarkEnd w:id="824391004"/>
    </w:p>
    <w:p w:rsidR="45CAAEDF" w:rsidP="45CAAEDF" w:rsidRDefault="45CAAEDF" w14:paraId="7C3045A7" w14:textId="2C5110BC">
      <w:pPr>
        <w:pStyle w:val="Normal"/>
        <w:keepNext w:val="1"/>
        <w:keepLines w:val="1"/>
        <w:rPr>
          <w:rFonts w:ascii="Arial" w:hAnsi="Arial" w:eastAsia="Arial" w:cs="Arial"/>
        </w:rPr>
      </w:pPr>
      <w:r w:rsidRPr="45CAAEDF" w:rsidR="45CAAEDF">
        <w:rPr>
          <w:rFonts w:ascii="Arial" w:hAnsi="Arial" w:eastAsia="Arial" w:cs="Arial"/>
        </w:rPr>
        <w:t>Este proyecto tiene como propósito desarrollar y aplicar metodologías de series de tiempo para analizar y predecir el comportamiento del precio del oro. Dada su relevancia como activo refugio y su sensibilidad a las condiciones macroeconómicas, la capacidad de anticipar sus movimientos resulta especialmente valiosa en contextos de incertidumbre.</w:t>
      </w:r>
    </w:p>
    <w:p w:rsidR="45CAAEDF" w:rsidP="45CAAEDF" w:rsidRDefault="45CAAEDF" w14:paraId="39028B84" w14:textId="69343B2D">
      <w:pPr>
        <w:pStyle w:val="Normal"/>
        <w:spacing w:line="240" w:lineRule="auto"/>
        <w:ind w:left="0"/>
        <w:jc w:val="both"/>
        <w:rPr>
          <w:rFonts w:ascii="Arial" w:hAnsi="Arial" w:eastAsia="Arial" w:cs="Arial"/>
          <w:noProof w:val="0"/>
          <w:color w:val="auto"/>
          <w:sz w:val="24"/>
          <w:szCs w:val="24"/>
          <w:lang w:val="es-ES"/>
        </w:rPr>
      </w:pPr>
      <w:r w:rsidRPr="45CAAEDF" w:rsidR="45CAAEDF">
        <w:rPr>
          <w:rFonts w:ascii="Arial" w:hAnsi="Arial" w:eastAsia="Arial" w:cs="Arial"/>
          <w:color w:val="auto"/>
          <w:sz w:val="24"/>
          <w:szCs w:val="24"/>
        </w:rPr>
        <w:t>En este sentido, el horizonte de predicción requerido es de 12 meses hacia adelante, lo</w:t>
      </w:r>
      <w:r w:rsidRPr="45CAAEDF" w:rsidR="45CAAEDF">
        <w:rPr>
          <w:rFonts w:ascii="Arial" w:hAnsi="Arial" w:eastAsia="Arial" w:cs="Arial"/>
          <w:color w:val="auto"/>
          <w:sz w:val="24"/>
          <w:szCs w:val="24"/>
        </w:rPr>
        <w:t xml:space="preserve"> que permite evaluar el desempeño de los modelos y generar información relevante para la toma de decisiones en escenarios de incertidumbre. Para esto, los objetivos específicos son:</w:t>
      </w:r>
    </w:p>
    <w:p w:rsidR="45CAAEDF" w:rsidP="45CAAEDF" w:rsidRDefault="45CAAEDF" w14:paraId="3C30B958" w14:textId="407BDC5F">
      <w:pPr>
        <w:pStyle w:val="ListParagraph"/>
        <w:numPr>
          <w:ilvl w:val="0"/>
          <w:numId w:val="5"/>
        </w:numPr>
        <w:spacing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Comprender y describir las propiedades de la serie de precios del oro, identificando tendencias, patrones estacionalidades y componentes irregulares.</w:t>
      </w:r>
    </w:p>
    <w:p w:rsidR="45CAAEDF" w:rsidP="45CAAEDF" w:rsidRDefault="45CAAEDF" w14:paraId="17C9DF9A" w14:textId="6B44E79C">
      <w:pPr>
        <w:pStyle w:val="ListParagraph"/>
        <w:spacing w:line="240" w:lineRule="auto"/>
        <w:ind w:left="720"/>
        <w:jc w:val="both"/>
        <w:rPr>
          <w:rFonts w:ascii="Arial" w:hAnsi="Arial" w:eastAsia="Arial" w:cs="Arial"/>
          <w:color w:val="auto"/>
          <w:sz w:val="24"/>
          <w:szCs w:val="24"/>
        </w:rPr>
      </w:pPr>
    </w:p>
    <w:p w:rsidR="45CAAEDF" w:rsidP="45CAAEDF" w:rsidRDefault="45CAAEDF" w14:paraId="15AB5CB8" w14:textId="61E29AAC">
      <w:pPr>
        <w:pStyle w:val="ListParagraph"/>
        <w:numPr>
          <w:ilvl w:val="0"/>
          <w:numId w:val="5"/>
        </w:numPr>
        <w:spacing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Evaluar la estacionariedad de la serie y, de ser necesario aplicar las transformaciones es</w:t>
      </w:r>
      <w:r w:rsidRPr="45CAAEDF" w:rsidR="45CAAEDF">
        <w:rPr>
          <w:rFonts w:ascii="Arial" w:hAnsi="Arial" w:eastAsia="Arial" w:cs="Arial"/>
          <w:color w:val="auto"/>
          <w:sz w:val="24"/>
          <w:szCs w:val="24"/>
          <w:lang w:eastAsia="ja-JP" w:bidi="ar-SA"/>
        </w:rPr>
        <w:t>tadísticas pertinentes para cumplir con los supuestos de los modelos de series de tiempo.</w:t>
      </w:r>
    </w:p>
    <w:p w:rsidR="45CAAEDF" w:rsidP="45CAAEDF" w:rsidRDefault="45CAAEDF" w14:paraId="33EE2444" w14:textId="630C8F30">
      <w:pPr>
        <w:pStyle w:val="ListParagraph"/>
        <w:spacing w:line="240" w:lineRule="auto"/>
        <w:ind w:left="720"/>
        <w:jc w:val="both"/>
        <w:rPr>
          <w:rFonts w:ascii="Arial" w:hAnsi="Arial" w:eastAsia="Arial" w:cs="Arial"/>
          <w:color w:val="auto"/>
          <w:sz w:val="24"/>
          <w:szCs w:val="24"/>
        </w:rPr>
      </w:pPr>
    </w:p>
    <w:p w:rsidR="45CAAEDF" w:rsidP="45CAAEDF" w:rsidRDefault="45CAAEDF" w14:paraId="5352E027" w14:textId="2FF28F03">
      <w:pPr>
        <w:pStyle w:val="ListParagraph"/>
        <w:numPr>
          <w:ilvl w:val="0"/>
          <w:numId w:val="5"/>
        </w:numPr>
        <w:spacing w:line="240" w:lineRule="auto"/>
        <w:jc w:val="both"/>
        <w:rPr>
          <w:rFonts w:ascii="Arial" w:hAnsi="Arial" w:eastAsia="Arial" w:cs="Arial"/>
          <w:noProof w:val="0"/>
          <w:color w:val="auto"/>
          <w:sz w:val="24"/>
          <w:szCs w:val="24"/>
          <w:lang w:val="es-CL"/>
        </w:rPr>
      </w:pPr>
      <w:r w:rsidRPr="45CAAEDF" w:rsidR="45CAAEDF">
        <w:rPr>
          <w:rFonts w:ascii="Arial" w:hAnsi="Arial" w:eastAsia="Arial" w:cs="Arial"/>
          <w:color w:val="auto"/>
          <w:sz w:val="24"/>
          <w:szCs w:val="24"/>
          <w:lang w:eastAsia="ja-JP" w:bidi="ar-SA"/>
        </w:rPr>
        <w:t xml:space="preserve">Diseñar, ajustar y comparar modelos estadísticos de series de tiempo, específicamente modelos de la familia ARMA y ARIMA, que capturen adecuadamente la estructura temporal de los datos, </w:t>
      </w:r>
      <w:r w:rsidRPr="45CAAEDF" w:rsidR="45CAAEDF">
        <w:rPr>
          <w:rFonts w:ascii="Arial" w:hAnsi="Arial" w:eastAsia="Arial" w:cs="Arial"/>
          <w:noProof w:val="0"/>
          <w:color w:val="auto"/>
          <w:sz w:val="24"/>
          <w:szCs w:val="24"/>
          <w:lang w:val="es-CL" w:eastAsia="ja-JP" w:bidi="ar-SA"/>
        </w:rPr>
        <w:t xml:space="preserve">seleccionando el más adecuado de acuerdo con criterios estadísticos y métricas de error de </w:t>
      </w:r>
      <w:r w:rsidRPr="45CAAEDF" w:rsidR="45CAAEDF">
        <w:rPr>
          <w:rFonts w:ascii="Arial" w:hAnsi="Arial" w:eastAsia="Arial" w:cs="Arial"/>
          <w:noProof w:val="0"/>
          <w:color w:val="auto"/>
          <w:sz w:val="24"/>
          <w:szCs w:val="24"/>
          <w:lang w:val="es-CL" w:eastAsia="ja-JP" w:bidi="ar-SA"/>
        </w:rPr>
        <w:t>pronóstico</w:t>
      </w:r>
      <w:r w:rsidRPr="45CAAEDF" w:rsidR="45CAAEDF">
        <w:rPr>
          <w:rFonts w:ascii="Arial" w:hAnsi="Arial" w:eastAsia="Arial" w:cs="Arial"/>
          <w:noProof w:val="0"/>
          <w:color w:val="auto"/>
          <w:sz w:val="24"/>
          <w:szCs w:val="24"/>
          <w:lang w:val="es-CL" w:eastAsia="ja-JP" w:bidi="ar-SA"/>
        </w:rPr>
        <w:t>.</w:t>
      </w:r>
    </w:p>
    <w:p w:rsidR="45CAAEDF" w:rsidP="45CAAEDF" w:rsidRDefault="45CAAEDF" w14:paraId="32434DFF" w14:textId="26ADDB72">
      <w:pPr>
        <w:pStyle w:val="ListParagraph"/>
        <w:spacing w:line="240" w:lineRule="auto"/>
        <w:ind w:left="720"/>
        <w:jc w:val="both"/>
        <w:rPr>
          <w:rFonts w:ascii="Arial" w:hAnsi="Arial" w:eastAsia="Arial" w:cs="Arial"/>
          <w:color w:val="auto"/>
          <w:sz w:val="24"/>
          <w:szCs w:val="24"/>
        </w:rPr>
      </w:pPr>
    </w:p>
    <w:p w:rsidR="45CAAEDF" w:rsidP="45CAAEDF" w:rsidRDefault="45CAAEDF" w14:paraId="60119B2B" w14:textId="4C2288BF">
      <w:pPr>
        <w:pStyle w:val="ListParagraph"/>
        <w:numPr>
          <w:ilvl w:val="0"/>
          <w:numId w:val="5"/>
        </w:numPr>
        <w:spacing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lang w:eastAsia="ja-JP" w:bidi="ar-SA"/>
        </w:rPr>
        <w:t>Realizar predicciones del precio del oro para los próximos 12 meses, y presentando estas estimaciones junto con sus respectivos intervalos de confianza, como una medida de la incertidumbre asociada a las proyecciones.</w:t>
      </w:r>
    </w:p>
    <w:p w:rsidR="45CAAEDF" w:rsidP="45CAAEDF" w:rsidRDefault="45CAAEDF" w14:paraId="732BDA11" w14:textId="7BA006D2">
      <w:pPr>
        <w:spacing w:line="240" w:lineRule="auto"/>
        <w:jc w:val="both"/>
        <w:rPr>
          <w:rFonts w:ascii="Arial" w:hAnsi="Arial" w:eastAsia="Arial" w:cs="Arial"/>
          <w:color w:val="auto"/>
          <w:sz w:val="24"/>
          <w:szCs w:val="24"/>
        </w:rPr>
      </w:pPr>
      <w:r w:rsidRPr="45CAAEDF">
        <w:rPr>
          <w:rFonts w:ascii="Arial" w:hAnsi="Arial" w:eastAsia="Arial" w:cs="Arial"/>
          <w:color w:val="auto"/>
          <w:sz w:val="24"/>
          <w:szCs w:val="24"/>
          <w:lang w:eastAsia="ja-JP" w:bidi="ar-SA"/>
        </w:rPr>
        <w:br w:type="page"/>
      </w:r>
    </w:p>
    <w:p w:rsidR="60004D45" w:rsidP="45CAAEDF" w:rsidRDefault="60004D45" w14:paraId="20878A9D" w14:textId="69F94B97">
      <w:pPr>
        <w:pStyle w:val="Heading1"/>
        <w:keepNext w:val="1"/>
        <w:keepLines w:val="1"/>
        <w:spacing w:before="360" w:after="80" w:line="240" w:lineRule="auto"/>
        <w:jc w:val="both"/>
        <w:rPr>
          <w:rFonts w:ascii="Arial" w:hAnsi="Arial" w:eastAsia="Arial" w:cs="Arial"/>
          <w:b w:val="1"/>
          <w:bCs w:val="1"/>
          <w:i w:val="0"/>
          <w:iCs w:val="0"/>
          <w:caps w:val="0"/>
          <w:smallCaps w:val="0"/>
          <w:noProof w:val="0"/>
          <w:color w:val="auto" w:themeColor="accent1" w:themeTint="FF" w:themeShade="BF"/>
          <w:sz w:val="24"/>
          <w:szCs w:val="24"/>
          <w:lang w:val="en-US"/>
        </w:rPr>
      </w:pPr>
      <w:bookmarkStart w:name="_Toc1589643460" w:id="2007628373"/>
      <w:bookmarkStart w:name="_Toc346260429" w:id="834601513"/>
      <w:r w:rsidRPr="45CAAEDF" w:rsidR="45CAAEDF">
        <w:rPr>
          <w:rFonts w:ascii="Arial" w:hAnsi="Arial" w:eastAsia="Arial" w:cs="Arial"/>
          <w:b w:val="1"/>
          <w:bCs w:val="1"/>
          <w:i w:val="0"/>
          <w:iCs w:val="0"/>
          <w:caps w:val="0"/>
          <w:smallCaps w:val="0"/>
          <w:color w:val="auto"/>
          <w:sz w:val="24"/>
          <w:szCs w:val="24"/>
        </w:rPr>
        <w:t>Resultados</w:t>
      </w:r>
      <w:bookmarkEnd w:id="2007628373"/>
      <w:bookmarkEnd w:id="834601513"/>
    </w:p>
    <w:p w:rsidR="316E45A4" w:rsidP="45CAAEDF" w:rsidRDefault="316E45A4" w14:paraId="61D7CC99" w14:textId="43A1522E">
      <w:pPr>
        <w:pStyle w:val="Heading3"/>
        <w:spacing w:before="281" w:beforeAutospacing="off" w:after="281" w:afterAutospacing="off" w:line="240" w:lineRule="auto"/>
        <w:jc w:val="both"/>
        <w:rPr>
          <w:rFonts w:ascii="Arial" w:hAnsi="Arial" w:eastAsia="Arial" w:cs="Arial"/>
          <w:b w:val="1"/>
          <w:bCs w:val="1"/>
          <w:color w:val="auto"/>
          <w:sz w:val="24"/>
          <w:szCs w:val="24"/>
        </w:rPr>
      </w:pPr>
      <w:bookmarkStart w:name="_Toc461755494" w:id="1390228350"/>
      <w:bookmarkStart w:name="_Toc1431613920" w:id="1603311991"/>
      <w:r w:rsidRPr="45CAAEDF" w:rsidR="45CAAEDF">
        <w:rPr>
          <w:rFonts w:ascii="Arial" w:hAnsi="Arial" w:eastAsia="Arial" w:cs="Arial"/>
          <w:b w:val="1"/>
          <w:bCs w:val="1"/>
          <w:color w:val="auto"/>
          <w:sz w:val="24"/>
          <w:szCs w:val="24"/>
        </w:rPr>
        <w:t>a. Análisis exploratorio</w:t>
      </w:r>
      <w:bookmarkEnd w:id="1390228350"/>
      <w:bookmarkEnd w:id="1603311991"/>
    </w:p>
    <w:p w:rsidR="316E45A4" w:rsidP="45CAAEDF" w:rsidRDefault="316E45A4" w14:paraId="699D556B" w14:textId="1EB4C7C8">
      <w:pPr>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Se observó que el precio del oro presenta una tendencia creciente no lineal, con aceleraciones en períodos de crisis (2008, 2020).</w:t>
      </w:r>
    </w:p>
    <w:p w:rsidR="316E45A4" w:rsidP="45CAAEDF" w:rsidRDefault="316E45A4" w14:paraId="074090EB" w14:textId="64EEF6C8">
      <w:pPr>
        <w:pStyle w:val="Normal"/>
        <w:suppressLineNumbers w:val="0"/>
        <w:bidi w:val="0"/>
        <w:spacing w:before="240" w:beforeAutospacing="off" w:after="240" w:afterAutospacing="off" w:line="240" w:lineRule="auto"/>
        <w:ind w:left="0" w:right="0"/>
        <w:jc w:val="center"/>
        <w:rPr>
          <w:rFonts w:ascii="Arial" w:hAnsi="Arial" w:eastAsia="Arial" w:cs="Arial"/>
        </w:rPr>
      </w:pPr>
      <w:r>
        <w:drawing>
          <wp:inline wp14:editId="069AEEC5" wp14:anchorId="48F2B57D">
            <wp:extent cx="4772025" cy="1965402"/>
            <wp:effectExtent l="0" t="0" r="0" b="0"/>
            <wp:docPr id="74293838" name="" title=""/>
            <wp:cNvGraphicFramePr>
              <a:graphicFrameLocks noChangeAspect="1"/>
            </wp:cNvGraphicFramePr>
            <a:graphic>
              <a:graphicData uri="http://schemas.openxmlformats.org/drawingml/2006/picture">
                <pic:pic>
                  <pic:nvPicPr>
                    <pic:cNvPr id="0" name=""/>
                    <pic:cNvPicPr/>
                  </pic:nvPicPr>
                  <pic:blipFill>
                    <a:blip r:embed="R5ab6bbb39a2a4f6d">
                      <a:extLst>
                        <a:ext xmlns:a="http://schemas.openxmlformats.org/drawingml/2006/main" uri="{28A0092B-C50C-407E-A947-70E740481C1C}">
                          <a14:useLocalDpi val="0"/>
                        </a:ext>
                      </a:extLst>
                    </a:blip>
                    <a:stretch>
                      <a:fillRect/>
                    </a:stretch>
                  </pic:blipFill>
                  <pic:spPr>
                    <a:xfrm>
                      <a:off x="0" y="0"/>
                      <a:ext cx="4772025" cy="1965402"/>
                    </a:xfrm>
                    <a:prstGeom prst="rect">
                      <a:avLst/>
                    </a:prstGeom>
                  </pic:spPr>
                </pic:pic>
              </a:graphicData>
            </a:graphic>
          </wp:inline>
        </w:drawing>
      </w:r>
    </w:p>
    <w:p w:rsidR="316E45A4" w:rsidP="45CAAEDF" w:rsidRDefault="316E45A4" w14:paraId="378A9C0C" w14:textId="238C07BA">
      <w:pPr>
        <w:pStyle w:val="Normal"/>
        <w:spacing w:before="240" w:beforeAutospacing="off" w:after="240" w:afterAutospacing="off" w:line="240" w:lineRule="auto"/>
        <w:ind w:left="0"/>
        <w:jc w:val="both"/>
        <w:rPr>
          <w:rFonts w:ascii="Arial" w:hAnsi="Arial" w:eastAsia="Arial" w:cs="Arial"/>
          <w:color w:val="auto"/>
          <w:sz w:val="24"/>
          <w:szCs w:val="24"/>
        </w:rPr>
      </w:pPr>
      <w:r w:rsidRPr="45CAAEDF" w:rsidR="45CAAEDF">
        <w:rPr>
          <w:rFonts w:ascii="Arial" w:hAnsi="Arial" w:eastAsia="Arial" w:cs="Arial"/>
          <w:color w:val="auto"/>
          <w:sz w:val="24"/>
          <w:szCs w:val="24"/>
        </w:rPr>
        <w:t>Para estabilizar la varianza de la serie, se aplicó una transformación logarítmica natural. Esta decisión se justifica por tres razones principales:</w:t>
      </w:r>
      <w:r>
        <w:br/>
      </w:r>
    </w:p>
    <w:p w:rsidR="316E45A4" w:rsidP="45CAAEDF" w:rsidRDefault="316E45A4" w14:paraId="5D10021E" w14:textId="27C34603">
      <w:pPr>
        <w:pStyle w:val="ListParagraph"/>
        <w:numPr>
          <w:ilvl w:val="0"/>
          <w:numId w:val="7"/>
        </w:numPr>
        <w:spacing w:before="240" w:beforeAutospacing="off" w:after="240" w:afterAutospacing="off" w:line="240" w:lineRule="auto"/>
        <w:jc w:val="both"/>
        <w:rPr>
          <w:rFonts w:ascii="Arial" w:hAnsi="Arial" w:eastAsia="Arial" w:cs="Arial"/>
          <w:b w:val="0"/>
          <w:bCs w:val="0"/>
          <w:i w:val="0"/>
          <w:iCs w:val="0"/>
          <w:caps w:val="0"/>
          <w:smallCaps w:val="0"/>
          <w:color w:val="auto"/>
          <w:sz w:val="24"/>
          <w:szCs w:val="24"/>
        </w:rPr>
      </w:pPr>
      <w:r w:rsidRPr="45CAAEDF" w:rsidR="45CAAEDF">
        <w:rPr>
          <w:rFonts w:ascii="Arial" w:hAnsi="Arial" w:eastAsia="Arial" w:cs="Arial"/>
          <w:b w:val="0"/>
          <w:bCs w:val="0"/>
          <w:i w:val="0"/>
          <w:iCs w:val="0"/>
          <w:caps w:val="0"/>
          <w:smallCaps w:val="0"/>
          <w:color w:val="auto"/>
          <w:sz w:val="24"/>
          <w:szCs w:val="24"/>
        </w:rPr>
        <w:t>Estabilización de la varianza</w:t>
      </w:r>
      <w:r w:rsidRPr="45CAAEDF" w:rsidR="45CAAEDF">
        <w:rPr>
          <w:rFonts w:ascii="Arial" w:hAnsi="Arial" w:eastAsia="Arial" w:cs="Arial"/>
          <w:b w:val="0"/>
          <w:bCs w:val="0"/>
          <w:i w:val="0"/>
          <w:iCs w:val="0"/>
          <w:caps w:val="0"/>
          <w:smallCaps w:val="0"/>
          <w:color w:val="auto"/>
          <w:sz w:val="24"/>
          <w:szCs w:val="24"/>
        </w:rPr>
        <w:t>: La gráfica del precio del oro en escala natural muestra una clara tendencia creciente, acompañada de un aumento en la amplitud de las fluctuaciones. Este patrón sugiere la presencia de heterocedasticidad, es decir, una varianza que crece con el nivel del precio. Al aplicar el logaritmo natural, se estabiliza la varianza relativa, lo cual es deseable para cumplir con los supuestos de modelos lineales como ARIMA o SARIMA.</w:t>
      </w:r>
    </w:p>
    <w:p w:rsidR="316E45A4" w:rsidP="45CAAEDF" w:rsidRDefault="316E45A4" w14:paraId="12F425B6" w14:textId="64B1FB0E">
      <w:pPr>
        <w:pStyle w:val="ListParagraph"/>
        <w:spacing w:before="240" w:beforeAutospacing="off" w:after="240" w:afterAutospacing="off" w:line="240" w:lineRule="auto"/>
        <w:ind w:left="720"/>
        <w:jc w:val="both"/>
        <w:rPr>
          <w:rFonts w:ascii="Arial" w:hAnsi="Arial" w:eastAsia="Arial" w:cs="Arial"/>
          <w:b w:val="0"/>
          <w:bCs w:val="0"/>
          <w:i w:val="0"/>
          <w:iCs w:val="0"/>
          <w:caps w:val="0"/>
          <w:smallCaps w:val="0"/>
          <w:color w:val="auto"/>
          <w:sz w:val="24"/>
          <w:szCs w:val="24"/>
        </w:rPr>
      </w:pPr>
    </w:p>
    <w:p w:rsidR="316E45A4" w:rsidP="45CAAEDF" w:rsidRDefault="316E45A4" w14:paraId="3E5BBB1B" w14:textId="68755795">
      <w:pPr>
        <w:pStyle w:val="ListParagraph"/>
        <w:numPr>
          <w:ilvl w:val="0"/>
          <w:numId w:val="7"/>
        </w:numPr>
        <w:shd w:val="clear" w:color="auto" w:fill="FFFFFF" w:themeFill="background1"/>
        <w:spacing w:before="240" w:beforeAutospacing="off" w:after="240" w:afterAutospacing="off" w:line="240" w:lineRule="auto"/>
        <w:jc w:val="both"/>
        <w:rPr>
          <w:rFonts w:ascii="Arial" w:hAnsi="Arial" w:eastAsia="Arial" w:cs="Arial"/>
          <w:b w:val="0"/>
          <w:bCs w:val="0"/>
          <w:i w:val="0"/>
          <w:iCs w:val="0"/>
          <w:caps w:val="0"/>
          <w:smallCaps w:val="0"/>
          <w:color w:val="auto"/>
          <w:sz w:val="24"/>
          <w:szCs w:val="24"/>
        </w:rPr>
      </w:pPr>
      <w:r w:rsidRPr="45CAAEDF" w:rsidR="45CAAEDF">
        <w:rPr>
          <w:rFonts w:ascii="Arial" w:hAnsi="Arial" w:eastAsia="Arial" w:cs="Arial"/>
          <w:b w:val="0"/>
          <w:bCs w:val="0"/>
          <w:i w:val="0"/>
          <w:iCs w:val="0"/>
          <w:caps w:val="0"/>
          <w:smallCaps w:val="0"/>
          <w:color w:val="auto"/>
          <w:sz w:val="24"/>
          <w:szCs w:val="24"/>
        </w:rPr>
        <w:t>Interpretación económica</w:t>
      </w:r>
      <w:r w:rsidRPr="45CAAEDF" w:rsidR="45CAAEDF">
        <w:rPr>
          <w:rFonts w:ascii="Arial" w:hAnsi="Arial" w:eastAsia="Arial" w:cs="Arial"/>
          <w:b w:val="0"/>
          <w:bCs w:val="0"/>
          <w:i w:val="0"/>
          <w:iCs w:val="0"/>
          <w:caps w:val="0"/>
          <w:smallCaps w:val="0"/>
          <w:color w:val="auto"/>
          <w:sz w:val="24"/>
          <w:szCs w:val="24"/>
        </w:rPr>
        <w:t xml:space="preserve">: Modelar el logaritmo del precio permite interpretar las diferencias como tasas de crecimiento aproximadas. </w:t>
      </w:r>
      <w:r w:rsidRPr="45CAAEDF" w:rsidR="45CAAEDF">
        <w:rPr>
          <w:rFonts w:ascii="Arial" w:hAnsi="Arial" w:eastAsia="Arial" w:cs="Arial"/>
          <w:b w:val="0"/>
          <w:bCs w:val="0"/>
          <w:i w:val="0"/>
          <w:iCs w:val="0"/>
          <w:caps w:val="0"/>
          <w:smallCaps w:val="0"/>
          <w:color w:val="auto"/>
          <w:sz w:val="24"/>
          <w:szCs w:val="24"/>
        </w:rPr>
        <w:t>Esto es particularmente útil en series financieras y económicas donde se priorizan los cambios porcentuales más que los absolutos.</w:t>
      </w:r>
    </w:p>
    <w:p w:rsidR="316E45A4" w:rsidP="45CAAEDF" w:rsidRDefault="316E45A4" w14:paraId="2A3810BF" w14:textId="01977812">
      <w:pPr>
        <w:pStyle w:val="ListParagraph"/>
        <w:numPr>
          <w:ilvl w:val="0"/>
          <w:numId w:val="7"/>
        </w:numPr>
        <w:shd w:val="clear" w:color="auto" w:fill="FFFFFF" w:themeFill="background1"/>
        <w:spacing w:before="240" w:beforeAutospacing="off" w:after="240" w:afterAutospacing="off" w:line="240" w:lineRule="auto"/>
        <w:jc w:val="both"/>
        <w:rPr>
          <w:rFonts w:ascii="Arial" w:hAnsi="Arial" w:eastAsia="Arial" w:cs="Arial"/>
          <w:b w:val="0"/>
          <w:bCs w:val="0"/>
          <w:i w:val="0"/>
          <w:iCs w:val="0"/>
          <w:caps w:val="0"/>
          <w:smallCaps w:val="0"/>
          <w:color w:val="auto"/>
          <w:sz w:val="24"/>
          <w:szCs w:val="24"/>
        </w:rPr>
      </w:pPr>
      <w:r w:rsidRPr="45CAAEDF" w:rsidR="45CAAEDF">
        <w:rPr>
          <w:rFonts w:ascii="Arial" w:hAnsi="Arial" w:eastAsia="Arial" w:cs="Arial"/>
          <w:b w:val="0"/>
          <w:bCs w:val="0"/>
          <w:i w:val="0"/>
          <w:iCs w:val="0"/>
          <w:caps w:val="0"/>
          <w:smallCaps w:val="0"/>
          <w:color w:val="auto"/>
          <w:sz w:val="24"/>
          <w:szCs w:val="24"/>
        </w:rPr>
        <w:t>Linealización de relaciones</w:t>
      </w:r>
      <w:r w:rsidRPr="45CAAEDF" w:rsidR="45CAAEDF">
        <w:rPr>
          <w:rFonts w:ascii="Arial" w:hAnsi="Arial" w:eastAsia="Arial" w:cs="Arial"/>
          <w:b w:val="0"/>
          <w:bCs w:val="0"/>
          <w:i w:val="0"/>
          <w:iCs w:val="0"/>
          <w:caps w:val="0"/>
          <w:smallCaps w:val="0"/>
          <w:color w:val="auto"/>
          <w:sz w:val="24"/>
          <w:szCs w:val="24"/>
        </w:rPr>
        <w:t>: En muchos casos, una serie con crecimiento exponencial o multiplicativo puede ser aproximada como aditiva después de una transformación logarítmica, facilitando el modelado con técnicas lineales.</w:t>
      </w:r>
    </w:p>
    <w:p w:rsidR="316E45A4" w:rsidP="45CAAEDF" w:rsidRDefault="316E45A4" w14:paraId="07B31811" w14:textId="67BCB592">
      <w:pPr>
        <w:spacing w:before="240" w:beforeAutospacing="off" w:after="240" w:afterAutospacing="off" w:line="240" w:lineRule="auto"/>
        <w:jc w:val="center"/>
        <w:rPr>
          <w:rFonts w:ascii="Arial" w:hAnsi="Arial" w:eastAsia="Arial" w:cs="Arial"/>
          <w:color w:val="auto"/>
          <w:sz w:val="24"/>
          <w:szCs w:val="24"/>
        </w:rPr>
      </w:pPr>
      <w:r>
        <w:drawing>
          <wp:inline wp14:editId="1C78586A" wp14:anchorId="11C88D23">
            <wp:extent cx="4682186" cy="1928400"/>
            <wp:effectExtent l="0" t="0" r="0" b="0"/>
            <wp:docPr id="1107302282" name="" title=""/>
            <wp:cNvGraphicFramePr>
              <a:graphicFrameLocks noChangeAspect="1"/>
            </wp:cNvGraphicFramePr>
            <a:graphic>
              <a:graphicData uri="http://schemas.openxmlformats.org/drawingml/2006/picture">
                <pic:pic>
                  <pic:nvPicPr>
                    <pic:cNvPr id="0" name=""/>
                    <pic:cNvPicPr/>
                  </pic:nvPicPr>
                  <pic:blipFill>
                    <a:blip r:embed="R48b0deed42cd4ef2">
                      <a:extLst>
                        <a:ext xmlns:a="http://schemas.openxmlformats.org/drawingml/2006/main" uri="{28A0092B-C50C-407E-A947-70E740481C1C}">
                          <a14:useLocalDpi val="0"/>
                        </a:ext>
                      </a:extLst>
                    </a:blip>
                    <a:stretch>
                      <a:fillRect/>
                    </a:stretch>
                  </pic:blipFill>
                  <pic:spPr>
                    <a:xfrm>
                      <a:off x="0" y="0"/>
                      <a:ext cx="4682186" cy="1928400"/>
                    </a:xfrm>
                    <a:prstGeom prst="rect">
                      <a:avLst/>
                    </a:prstGeom>
                  </pic:spPr>
                </pic:pic>
              </a:graphicData>
            </a:graphic>
          </wp:inline>
        </w:drawing>
      </w:r>
    </w:p>
    <w:p w:rsidR="316E45A4" w:rsidP="45CAAEDF" w:rsidRDefault="316E45A4" w14:paraId="23C06636" w14:textId="7ABD24CF">
      <w:pPr>
        <w:spacing w:before="240" w:beforeAutospacing="off" w:after="240" w:afterAutospacing="off" w:line="240" w:lineRule="auto"/>
        <w:jc w:val="both"/>
        <w:rPr>
          <w:rFonts w:ascii="Arial" w:hAnsi="Arial" w:eastAsia="Arial" w:cs="Arial"/>
          <w:b w:val="0"/>
          <w:bCs w:val="0"/>
          <w:i w:val="0"/>
          <w:iCs w:val="0"/>
          <w:caps w:val="0"/>
          <w:smallCaps w:val="0"/>
          <w:color w:val="auto"/>
          <w:sz w:val="24"/>
          <w:szCs w:val="24"/>
        </w:rPr>
      </w:pPr>
      <w:r w:rsidRPr="45CAAEDF" w:rsidR="45CAAEDF">
        <w:rPr>
          <w:rFonts w:ascii="Arial" w:hAnsi="Arial" w:eastAsia="Arial" w:cs="Arial"/>
          <w:b w:val="0"/>
          <w:bCs w:val="0"/>
          <w:i w:val="0"/>
          <w:iCs w:val="0"/>
          <w:caps w:val="0"/>
          <w:smallCaps w:val="0"/>
          <w:color w:val="auto"/>
          <w:sz w:val="24"/>
          <w:szCs w:val="24"/>
        </w:rPr>
        <w:t xml:space="preserve">La no estacionariedad de la serie logarítmica del precio del oro fue confirmada mediante la prueba de </w:t>
      </w:r>
      <w:r w:rsidRPr="45CAAEDF" w:rsidR="45CAAEDF">
        <w:rPr>
          <w:rFonts w:ascii="Arial" w:hAnsi="Arial" w:eastAsia="Arial" w:cs="Arial"/>
          <w:b w:val="0"/>
          <w:bCs w:val="0"/>
          <w:i w:val="0"/>
          <w:iCs w:val="0"/>
          <w:caps w:val="0"/>
          <w:smallCaps w:val="0"/>
          <w:color w:val="auto"/>
          <w:sz w:val="24"/>
          <w:szCs w:val="24"/>
        </w:rPr>
        <w:t>Dickey</w:t>
      </w:r>
      <w:r w:rsidRPr="45CAAEDF" w:rsidR="45CAAEDF">
        <w:rPr>
          <w:rFonts w:ascii="Arial" w:hAnsi="Arial" w:eastAsia="Arial" w:cs="Arial"/>
          <w:b w:val="0"/>
          <w:bCs w:val="0"/>
          <w:i w:val="0"/>
          <w:iCs w:val="0"/>
          <w:caps w:val="0"/>
          <w:smallCaps w:val="0"/>
          <w:color w:val="auto"/>
          <w:sz w:val="24"/>
          <w:szCs w:val="24"/>
        </w:rPr>
        <w:t>-Fuller aumentada (ADF), la cual arrojó un valor p &gt; 0.9. En este contexto, la aplicación de la transformación logarítmica se considera una decisión adecuada y justificada tanto desde una perspectiva estadística, al contribuir a la estabilización de la varianza, como interpretativa, al facilitar el análisis en términos de tasas de crecimiento.</w:t>
      </w:r>
    </w:p>
    <w:p w:rsidR="316E45A4" w:rsidP="45CAAEDF" w:rsidRDefault="316E45A4" w14:paraId="19D0FBE1" w14:textId="45C70284">
      <w:pPr>
        <w:pStyle w:val="Normal"/>
        <w:spacing w:before="240" w:beforeAutospacing="off" w:after="240" w:afterAutospacing="off" w:line="240" w:lineRule="auto"/>
        <w:jc w:val="both"/>
      </w:pPr>
      <w:r w:rsidRPr="45CAAEDF" w:rsidR="45CAAEDF">
        <w:rPr>
          <w:rFonts w:ascii="Arial" w:hAnsi="Arial" w:eastAsia="Arial" w:cs="Arial"/>
          <w:b w:val="0"/>
          <w:bCs w:val="0"/>
          <w:i w:val="0"/>
          <w:iCs w:val="0"/>
          <w:caps w:val="0"/>
          <w:smallCaps w:val="0"/>
          <w:color w:val="auto"/>
          <w:sz w:val="24"/>
          <w:szCs w:val="24"/>
        </w:rPr>
        <w:t>Adicionalmente, se evaluó la posibilidad de emplear modelos SARIMA que incorporan componentes estacionales. Sin embargo, el análisis exploratorio no evidenció patrones estacionales significativos ni persistentes en la serie, tanto en niveles como en log-retornos. Esta conclusión se basa en la inspección de las funciones ACF y PACF, así como en la descomposición estacional. Por consiguiente, se descartó el uso de modelos SARIMA, optando por enfoques más sencillos y acordes a la estructura temporal observada, específicamente modelos de las familias ARMA y ARIMA.</w:t>
      </w:r>
    </w:p>
    <w:p w:rsidR="316E45A4" w:rsidP="45CAAEDF" w:rsidRDefault="316E45A4" w14:paraId="6E902B20" w14:textId="341D3A66">
      <w:pPr>
        <w:spacing w:before="240" w:beforeAutospacing="off" w:after="240" w:afterAutospacing="off" w:line="240" w:lineRule="auto"/>
        <w:jc w:val="both"/>
        <w:rPr>
          <w:rFonts w:ascii="Arial" w:hAnsi="Arial" w:eastAsia="Arial" w:cs="Arial"/>
          <w:noProof w:val="0"/>
          <w:color w:val="auto"/>
          <w:sz w:val="24"/>
          <w:szCs w:val="24"/>
          <w:lang w:val="es-419"/>
        </w:rPr>
      </w:pPr>
      <w:r w:rsidRPr="45CAAEDF" w:rsidR="45CAAEDF">
        <w:rPr>
          <w:rFonts w:ascii="Arial" w:hAnsi="Arial" w:eastAsia="Arial" w:cs="Arial"/>
          <w:b w:val="0"/>
          <w:bCs w:val="0"/>
          <w:i w:val="0"/>
          <w:iCs w:val="0"/>
          <w:caps w:val="0"/>
          <w:smallCaps w:val="0"/>
          <w:color w:val="auto"/>
          <w:sz w:val="24"/>
          <w:szCs w:val="24"/>
        </w:rPr>
        <w:t xml:space="preserve">Sin embargo, la serie resultante aún presenta no estacionariedad, por lo que se recomienda aplicar una diferenciación sobre </w:t>
      </w:r>
      <w:r w:rsidRPr="45CAAEDF" w:rsidR="45CAAEDF">
        <w:rPr>
          <w:rFonts w:ascii="Arial" w:hAnsi="Arial" w:eastAsia="Arial" w:cs="Arial"/>
          <w:b w:val="0"/>
          <w:bCs w:val="0"/>
          <w:i w:val="0"/>
          <w:iCs w:val="0"/>
          <w:caps w:val="0"/>
          <w:smallCaps w:val="0"/>
          <w:color w:val="auto"/>
          <w:sz w:val="24"/>
          <w:szCs w:val="24"/>
        </w:rPr>
        <w:t>l</w:t>
      </w:r>
      <w:r w:rsidRPr="45CAAEDF" w:rsidR="45CAAEDF">
        <w:rPr>
          <w:rFonts w:ascii="Arial" w:hAnsi="Arial" w:eastAsia="Arial" w:cs="Arial"/>
          <w:b w:val="0"/>
          <w:bCs w:val="0"/>
          <w:i w:val="0"/>
          <w:iCs w:val="0"/>
          <w:caps w:val="0"/>
          <w:smallCaps w:val="0"/>
          <w:color w:val="auto"/>
          <w:sz w:val="24"/>
          <w:szCs w:val="24"/>
        </w:rPr>
        <w:t>og(</w:t>
      </w:r>
      <w:r w:rsidRPr="45CAAEDF" w:rsidR="45CAAEDF">
        <w:rPr>
          <w:rFonts w:ascii="Arial" w:hAnsi="Arial" w:eastAsia="Arial" w:cs="Arial"/>
          <w:b w:val="0"/>
          <w:bCs w:val="0"/>
          <w:i w:val="0"/>
          <w:iCs w:val="0"/>
          <w:caps w:val="0"/>
          <w:smallCaps w:val="0"/>
          <w:color w:val="auto"/>
          <w:sz w:val="24"/>
          <w:szCs w:val="24"/>
        </w:rPr>
        <w:t>G</w:t>
      </w:r>
      <w:r w:rsidRPr="45CAAEDF" w:rsidR="45CAAEDF">
        <w:rPr>
          <w:rFonts w:ascii="Arial" w:hAnsi="Arial" w:eastAsia="Arial" w:cs="Arial"/>
          <w:b w:val="0"/>
          <w:bCs w:val="0"/>
          <w:i w:val="0"/>
          <w:iCs w:val="0"/>
          <w:caps w:val="0"/>
          <w:smallCaps w:val="0"/>
          <w:color w:val="auto"/>
          <w:sz w:val="24"/>
          <w:szCs w:val="24"/>
        </w:rPr>
        <w:t>old_Price</w:t>
      </w:r>
      <w:r w:rsidRPr="45CAAEDF" w:rsidR="45CAAEDF">
        <w:rPr>
          <w:rFonts w:ascii="Arial" w:hAnsi="Arial" w:eastAsia="Arial" w:cs="Arial"/>
          <w:b w:val="0"/>
          <w:bCs w:val="0"/>
          <w:i w:val="0"/>
          <w:iCs w:val="0"/>
          <w:caps w:val="0"/>
          <w:smallCaps w:val="0"/>
          <w:color w:val="auto"/>
          <w:sz w:val="24"/>
          <w:szCs w:val="24"/>
        </w:rPr>
        <w:t>)</w:t>
      </w:r>
      <w:r w:rsidRPr="45CAAEDF" w:rsidR="45CAAEDF">
        <w:rPr>
          <w:rFonts w:ascii="Arial" w:hAnsi="Arial" w:eastAsia="Arial" w:cs="Arial"/>
          <w:b w:val="0"/>
          <w:bCs w:val="0"/>
          <w:i w:val="0"/>
          <w:iCs w:val="0"/>
          <w:caps w:val="0"/>
          <w:smallCaps w:val="0"/>
          <w:color w:val="auto"/>
          <w:sz w:val="24"/>
          <w:szCs w:val="24"/>
        </w:rPr>
        <w:t xml:space="preserve"> antes de proceder con el análisis de autocorrelaciones y el modelado.</w:t>
      </w:r>
    </w:p>
    <w:p w:rsidR="316E45A4" w:rsidP="45CAAEDF" w:rsidRDefault="316E45A4" w14:paraId="5B0133BB" w14:textId="204302A1">
      <w:pPr>
        <w:spacing w:before="240" w:beforeAutospacing="off" w:after="240" w:afterAutospacing="off" w:line="240" w:lineRule="auto"/>
        <w:jc w:val="both"/>
        <w:rPr>
          <w:rFonts w:ascii="Arial" w:hAnsi="Arial" w:eastAsia="Arial" w:cs="Arial"/>
          <w:b w:val="1"/>
          <w:bCs w:val="1"/>
          <w:i w:val="0"/>
          <w:iCs w:val="0"/>
          <w:caps w:val="0"/>
          <w:smallCaps w:val="0"/>
          <w:color w:val="auto"/>
          <w:sz w:val="24"/>
          <w:szCs w:val="24"/>
        </w:rPr>
      </w:pPr>
      <w:r w:rsidRPr="45CAAEDF" w:rsidR="45CAAEDF">
        <w:rPr>
          <w:rFonts w:ascii="Arial" w:hAnsi="Arial" w:eastAsia="Arial" w:cs="Arial"/>
          <w:b w:val="1"/>
          <w:bCs w:val="1"/>
          <w:i w:val="0"/>
          <w:iCs w:val="0"/>
          <w:caps w:val="0"/>
          <w:smallCaps w:val="0"/>
          <w:color w:val="auto"/>
          <w:sz w:val="24"/>
          <w:szCs w:val="24"/>
        </w:rPr>
        <w:t xml:space="preserve">Transformación adicional: primera diferencia de </w:t>
      </w:r>
      <w:r w:rsidRPr="45CAAEDF" w:rsidR="45CAAEDF">
        <w:rPr>
          <w:rFonts w:ascii="Arial" w:hAnsi="Arial" w:eastAsia="Arial" w:cs="Arial"/>
          <w:b w:val="1"/>
          <w:bCs w:val="1"/>
          <w:i w:val="0"/>
          <w:iCs w:val="0"/>
          <w:caps w:val="0"/>
          <w:smallCaps w:val="0"/>
          <w:color w:val="auto"/>
          <w:sz w:val="24"/>
          <w:szCs w:val="24"/>
        </w:rPr>
        <w:t>log(</w:t>
      </w:r>
      <w:r w:rsidRPr="45CAAEDF" w:rsidR="45CAAEDF">
        <w:rPr>
          <w:rFonts w:ascii="Arial" w:hAnsi="Arial" w:eastAsia="Arial" w:cs="Arial"/>
          <w:b w:val="1"/>
          <w:bCs w:val="1"/>
          <w:i w:val="0"/>
          <w:iCs w:val="0"/>
          <w:caps w:val="0"/>
          <w:smallCaps w:val="0"/>
          <w:color w:val="auto"/>
          <w:sz w:val="24"/>
          <w:szCs w:val="24"/>
        </w:rPr>
        <w:t>Gold_Price</w:t>
      </w:r>
      <w:r w:rsidRPr="45CAAEDF" w:rsidR="45CAAEDF">
        <w:rPr>
          <w:rFonts w:ascii="Arial" w:hAnsi="Arial" w:eastAsia="Arial" w:cs="Arial"/>
          <w:b w:val="1"/>
          <w:bCs w:val="1"/>
          <w:i w:val="0"/>
          <w:iCs w:val="0"/>
          <w:caps w:val="0"/>
          <w:smallCaps w:val="0"/>
          <w:color w:val="auto"/>
          <w:sz w:val="24"/>
          <w:szCs w:val="24"/>
        </w:rPr>
        <w:t>)</w:t>
      </w:r>
    </w:p>
    <w:p w:rsidR="316E45A4" w:rsidP="45CAAEDF" w:rsidRDefault="316E45A4" w14:paraId="383FB029" w14:textId="7A4994F9">
      <w:pPr>
        <w:spacing w:before="240" w:beforeAutospacing="off" w:after="240" w:afterAutospacing="off" w:line="240" w:lineRule="auto"/>
        <w:jc w:val="both"/>
        <w:rPr>
          <w:rFonts w:ascii="Arial" w:hAnsi="Arial" w:eastAsia="Arial" w:cs="Arial"/>
          <w:b w:val="0"/>
          <w:bCs w:val="0"/>
          <w:i w:val="0"/>
          <w:iCs w:val="0"/>
          <w:caps w:val="0"/>
          <w:smallCaps w:val="0"/>
          <w:noProof w:val="0"/>
          <w:color w:val="auto"/>
          <w:sz w:val="24"/>
          <w:szCs w:val="24"/>
          <w:lang w:val="es-419"/>
        </w:rPr>
      </w:pPr>
      <w:r w:rsidRPr="45CAAEDF" w:rsidR="45CAAEDF">
        <w:rPr>
          <w:rFonts w:ascii="Arial" w:hAnsi="Arial" w:eastAsia="Arial" w:cs="Arial"/>
          <w:b w:val="0"/>
          <w:bCs w:val="0"/>
          <w:i w:val="0"/>
          <w:iCs w:val="0"/>
          <w:caps w:val="0"/>
          <w:smallCaps w:val="0"/>
          <w:color w:val="auto"/>
          <w:sz w:val="24"/>
          <w:szCs w:val="24"/>
        </w:rPr>
        <w:t xml:space="preserve">Dado que la serie </w:t>
      </w:r>
      <w:r w:rsidRPr="45CAAEDF" w:rsidR="45CAAEDF">
        <w:rPr>
          <w:rFonts w:ascii="Arial" w:hAnsi="Arial" w:eastAsia="Arial" w:cs="Arial"/>
          <w:b w:val="0"/>
          <w:bCs w:val="0"/>
          <w:i w:val="0"/>
          <w:iCs w:val="0"/>
          <w:caps w:val="0"/>
          <w:smallCaps w:val="0"/>
          <w:color w:val="auto"/>
          <w:sz w:val="24"/>
          <w:szCs w:val="24"/>
        </w:rPr>
        <w:t>log(</w:t>
      </w:r>
      <w:r w:rsidRPr="45CAAEDF" w:rsidR="45CAAEDF">
        <w:rPr>
          <w:rFonts w:ascii="Arial" w:hAnsi="Arial" w:eastAsia="Arial" w:cs="Arial"/>
          <w:b w:val="0"/>
          <w:bCs w:val="0"/>
          <w:i w:val="0"/>
          <w:iCs w:val="0"/>
          <w:caps w:val="0"/>
          <w:smallCaps w:val="0"/>
          <w:color w:val="auto"/>
          <w:sz w:val="24"/>
          <w:szCs w:val="24"/>
        </w:rPr>
        <w:t>Gold_Price</w:t>
      </w:r>
      <w:r w:rsidRPr="45CAAEDF" w:rsidR="45CAAEDF">
        <w:rPr>
          <w:rFonts w:ascii="Arial" w:hAnsi="Arial" w:eastAsia="Arial" w:cs="Arial"/>
          <w:b w:val="0"/>
          <w:bCs w:val="0"/>
          <w:i w:val="0"/>
          <w:iCs w:val="0"/>
          <w:caps w:val="0"/>
          <w:smallCaps w:val="0"/>
          <w:color w:val="auto"/>
          <w:sz w:val="24"/>
          <w:szCs w:val="24"/>
        </w:rPr>
        <w:t xml:space="preserve">) no es estacionaria según la prueba de </w:t>
      </w:r>
      <w:r w:rsidRPr="45CAAEDF" w:rsidR="45CAAEDF">
        <w:rPr>
          <w:rFonts w:ascii="Arial" w:hAnsi="Arial" w:eastAsia="Arial" w:cs="Arial"/>
          <w:b w:val="0"/>
          <w:bCs w:val="0"/>
          <w:i w:val="0"/>
          <w:iCs w:val="0"/>
          <w:caps w:val="0"/>
          <w:smallCaps w:val="0"/>
          <w:color w:val="auto"/>
          <w:sz w:val="24"/>
          <w:szCs w:val="24"/>
        </w:rPr>
        <w:t>Dickey</w:t>
      </w:r>
      <w:r w:rsidRPr="45CAAEDF" w:rsidR="45CAAEDF">
        <w:rPr>
          <w:rFonts w:ascii="Arial" w:hAnsi="Arial" w:eastAsia="Arial" w:cs="Arial"/>
          <w:b w:val="0"/>
          <w:bCs w:val="0"/>
          <w:i w:val="0"/>
          <w:iCs w:val="0"/>
          <w:caps w:val="0"/>
          <w:smallCaps w:val="0"/>
          <w:color w:val="auto"/>
          <w:sz w:val="24"/>
          <w:szCs w:val="24"/>
        </w:rPr>
        <w:t>-Fuller, se procede a aplicar una primera diferencia. Esto equivale a modelar los retornos logarítmicos, que en términos económicos representan las tasas de crecimiento relativas mensuales del precio del oro.</w:t>
      </w:r>
    </w:p>
    <w:p w:rsidR="316E45A4" w:rsidP="45CAAEDF" w:rsidRDefault="316E45A4" w14:paraId="2AB5AECB" w14:textId="1C7DDC10">
      <w:pPr>
        <w:spacing w:before="240" w:beforeAutospacing="off" w:after="240" w:afterAutospacing="off" w:line="240" w:lineRule="auto"/>
        <w:jc w:val="center"/>
        <w:rPr>
          <w:rFonts w:ascii="Arial" w:hAnsi="Arial" w:eastAsia="Arial" w:cs="Arial"/>
          <w:color w:val="auto"/>
          <w:sz w:val="24"/>
          <w:szCs w:val="24"/>
        </w:rPr>
      </w:pPr>
      <w:r>
        <w:drawing>
          <wp:inline wp14:editId="41493AD1" wp14:anchorId="3FC5895D">
            <wp:extent cx="2394881" cy="1838325"/>
            <wp:effectExtent l="0" t="0" r="0" b="0"/>
            <wp:docPr id="331261844" name="" title=""/>
            <wp:cNvGraphicFramePr>
              <a:graphicFrameLocks noChangeAspect="1"/>
            </wp:cNvGraphicFramePr>
            <a:graphic>
              <a:graphicData uri="http://schemas.openxmlformats.org/drawingml/2006/picture">
                <pic:pic>
                  <pic:nvPicPr>
                    <pic:cNvPr id="0" name=""/>
                    <pic:cNvPicPr/>
                  </pic:nvPicPr>
                  <pic:blipFill>
                    <a:blip r:embed="R295d11b600d14d26">
                      <a:extLst>
                        <a:ext xmlns:a="http://schemas.openxmlformats.org/drawingml/2006/main" uri="{28A0092B-C50C-407E-A947-70E740481C1C}">
                          <a14:useLocalDpi val="0"/>
                        </a:ext>
                      </a:extLst>
                    </a:blip>
                    <a:stretch>
                      <a:fillRect/>
                    </a:stretch>
                  </pic:blipFill>
                  <pic:spPr>
                    <a:xfrm>
                      <a:off x="0" y="0"/>
                      <a:ext cx="2394881" cy="1838325"/>
                    </a:xfrm>
                    <a:prstGeom prst="rect">
                      <a:avLst/>
                    </a:prstGeom>
                  </pic:spPr>
                </pic:pic>
              </a:graphicData>
            </a:graphic>
          </wp:inline>
        </w:drawing>
      </w:r>
      <w:r w:rsidRPr="45CAAEDF" w:rsidR="45CAAEDF">
        <w:rPr>
          <w:rFonts w:ascii="Arial" w:hAnsi="Arial" w:eastAsia="Arial" w:cs="Arial"/>
          <w:color w:val="auto"/>
          <w:sz w:val="24"/>
          <w:szCs w:val="24"/>
        </w:rPr>
        <w:t xml:space="preserve"> </w:t>
      </w:r>
      <w:r>
        <w:drawing>
          <wp:inline wp14:editId="0620C0D1" wp14:anchorId="605E7F7F">
            <wp:extent cx="2391823" cy="1835977"/>
            <wp:effectExtent l="0" t="0" r="0" b="0"/>
            <wp:docPr id="1619042829" name="" title=""/>
            <wp:cNvGraphicFramePr>
              <a:graphicFrameLocks noChangeAspect="1"/>
            </wp:cNvGraphicFramePr>
            <a:graphic>
              <a:graphicData uri="http://schemas.openxmlformats.org/drawingml/2006/picture">
                <pic:pic>
                  <pic:nvPicPr>
                    <pic:cNvPr id="0" name=""/>
                    <pic:cNvPicPr/>
                  </pic:nvPicPr>
                  <pic:blipFill>
                    <a:blip r:embed="R94555922a29d4eae">
                      <a:extLst>
                        <a:ext xmlns:a="http://schemas.openxmlformats.org/drawingml/2006/main" uri="{28A0092B-C50C-407E-A947-70E740481C1C}">
                          <a14:useLocalDpi val="0"/>
                        </a:ext>
                      </a:extLst>
                    </a:blip>
                    <a:stretch>
                      <a:fillRect/>
                    </a:stretch>
                  </pic:blipFill>
                  <pic:spPr>
                    <a:xfrm>
                      <a:off x="0" y="0"/>
                      <a:ext cx="2391823" cy="1835977"/>
                    </a:xfrm>
                    <a:prstGeom prst="rect">
                      <a:avLst/>
                    </a:prstGeom>
                  </pic:spPr>
                </pic:pic>
              </a:graphicData>
            </a:graphic>
          </wp:inline>
        </w:drawing>
      </w:r>
    </w:p>
    <w:p w:rsidR="316E45A4" w:rsidP="45CAAEDF" w:rsidRDefault="316E45A4" w14:paraId="78B5CB34" w14:textId="7A516BF1">
      <w:pPr>
        <w:spacing w:before="240" w:beforeAutospacing="off" w:after="240" w:afterAutospacing="off" w:line="240" w:lineRule="auto"/>
        <w:jc w:val="both"/>
        <w:rPr>
          <w:rFonts w:ascii="Arial" w:hAnsi="Arial" w:eastAsia="Arial" w:cs="Arial"/>
          <w:noProof w:val="0"/>
          <w:color w:val="auto"/>
          <w:sz w:val="24"/>
          <w:szCs w:val="24"/>
          <w:lang w:val="es-419"/>
        </w:rPr>
      </w:pPr>
      <w:r w:rsidRPr="45CAAEDF" w:rsidR="45CAAEDF">
        <w:rPr>
          <w:rFonts w:ascii="Arial" w:hAnsi="Arial" w:eastAsia="Arial" w:cs="Arial"/>
          <w:color w:val="auto"/>
          <w:sz w:val="24"/>
          <w:szCs w:val="24"/>
        </w:rPr>
        <w:t xml:space="preserve">Tras aplicar la primera diferencia a </w:t>
      </w:r>
      <w:r w:rsidRPr="45CAAEDF" w:rsidR="45CAAEDF">
        <w:rPr>
          <w:rFonts w:ascii="Arial" w:hAnsi="Arial" w:eastAsia="Arial" w:cs="Arial"/>
          <w:color w:val="auto"/>
          <w:sz w:val="24"/>
          <w:szCs w:val="24"/>
        </w:rPr>
        <w:t>log(</w:t>
      </w:r>
      <w:r w:rsidRPr="45CAAEDF" w:rsidR="45CAAEDF">
        <w:rPr>
          <w:rFonts w:ascii="Arial" w:hAnsi="Arial" w:eastAsia="Arial" w:cs="Arial"/>
          <w:color w:val="auto"/>
          <w:sz w:val="24"/>
          <w:szCs w:val="24"/>
        </w:rPr>
        <w:t>Gold_Price</w:t>
      </w:r>
      <w:r w:rsidRPr="45CAAEDF" w:rsidR="45CAAEDF">
        <w:rPr>
          <w:rFonts w:ascii="Arial" w:hAnsi="Arial" w:eastAsia="Arial" w:cs="Arial"/>
          <w:color w:val="auto"/>
          <w:sz w:val="24"/>
          <w:szCs w:val="24"/>
        </w:rPr>
        <w:t xml:space="preserve">), se analizaron las funciones de autocorrelación (ACF) y autocorrelación parcial (PACF) sobre la serie </w:t>
      </w:r>
      <w:r w:rsidRPr="45CAAEDF" w:rsidR="45CAAEDF">
        <w:rPr>
          <w:rFonts w:ascii="Arial" w:hAnsi="Arial" w:eastAsia="Arial" w:cs="Arial"/>
          <w:color w:val="auto"/>
          <w:sz w:val="24"/>
          <w:szCs w:val="24"/>
        </w:rPr>
        <w:t>log_diff</w:t>
      </w:r>
      <w:r w:rsidRPr="45CAAEDF" w:rsidR="45CAAEDF">
        <w:rPr>
          <w:rFonts w:ascii="Arial" w:hAnsi="Arial" w:eastAsia="Arial" w:cs="Arial"/>
          <w:color w:val="auto"/>
          <w:sz w:val="24"/>
          <w:szCs w:val="24"/>
        </w:rPr>
        <w:t>. Los gráficos resultantes se interpretan a continuación.</w:t>
      </w:r>
    </w:p>
    <w:p w:rsidR="316E45A4" w:rsidP="45CAAEDF" w:rsidRDefault="316E45A4" w14:paraId="1847F128" w14:textId="5ADEEF9C">
      <w:pPr>
        <w:pStyle w:val="Normal"/>
        <w:spacing w:before="240" w:beforeAutospacing="off" w:after="240" w:afterAutospacing="off" w:line="240" w:lineRule="auto"/>
        <w:jc w:val="both"/>
        <w:rPr>
          <w:rFonts w:ascii="Arial" w:hAnsi="Arial" w:eastAsia="Arial" w:cs="Arial"/>
          <w:b w:val="1"/>
          <w:bCs w:val="1"/>
          <w:color w:val="auto"/>
          <w:sz w:val="24"/>
          <w:szCs w:val="24"/>
        </w:rPr>
      </w:pPr>
      <w:r w:rsidRPr="45CAAEDF" w:rsidR="45CAAEDF">
        <w:rPr>
          <w:rFonts w:ascii="Arial" w:hAnsi="Arial" w:eastAsia="Arial" w:cs="Arial"/>
          <w:b w:val="1"/>
          <w:bCs w:val="1"/>
          <w:color w:val="auto"/>
          <w:sz w:val="24"/>
          <w:szCs w:val="24"/>
        </w:rPr>
        <w:t>ACF (Función de autocorrelación)</w:t>
      </w:r>
    </w:p>
    <w:p w:rsidR="316E45A4" w:rsidP="45CAAEDF" w:rsidRDefault="316E45A4" w14:paraId="31F3941F" w14:textId="4F50232E">
      <w:pPr>
        <w:pStyle w:val="ListParagraph"/>
        <w:numPr>
          <w:ilvl w:val="0"/>
          <w:numId w:val="8"/>
        </w:numPr>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Se observa un pico significativo en el </w:t>
      </w:r>
      <w:r w:rsidRPr="45CAAEDF" w:rsidR="45CAAEDF">
        <w:rPr>
          <w:rFonts w:ascii="Arial" w:hAnsi="Arial" w:eastAsia="Arial" w:cs="Arial"/>
          <w:color w:val="auto"/>
          <w:sz w:val="24"/>
          <w:szCs w:val="24"/>
        </w:rPr>
        <w:t>lag</w:t>
      </w:r>
      <w:r w:rsidRPr="45CAAEDF" w:rsidR="45CAAEDF">
        <w:rPr>
          <w:rFonts w:ascii="Arial" w:hAnsi="Arial" w:eastAsia="Arial" w:cs="Arial"/>
          <w:color w:val="auto"/>
          <w:sz w:val="24"/>
          <w:szCs w:val="24"/>
        </w:rPr>
        <w:t xml:space="preserve"> 1, y posteriormente todas las autocorrelaciones caen dentro del intervalo de confianza.</w:t>
      </w:r>
    </w:p>
    <w:p w:rsidR="316E45A4" w:rsidP="45CAAEDF" w:rsidRDefault="316E45A4" w14:paraId="18101772" w14:textId="51DE3195">
      <w:pPr>
        <w:pStyle w:val="ListParagraph"/>
        <w:numPr>
          <w:ilvl w:val="0"/>
          <w:numId w:val="8"/>
        </w:numPr>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Este patrón es característico de una serie que puede ser bien modelada con una componente </w:t>
      </w:r>
      <w:r w:rsidRPr="45CAAEDF" w:rsidR="45CAAEDF">
        <w:rPr>
          <w:rFonts w:ascii="Arial" w:hAnsi="Arial" w:eastAsia="Arial" w:cs="Arial"/>
          <w:color w:val="auto"/>
          <w:sz w:val="24"/>
          <w:szCs w:val="24"/>
        </w:rPr>
        <w:t>MA(</w:t>
      </w:r>
      <w:r w:rsidRPr="45CAAEDF" w:rsidR="45CAAEDF">
        <w:rPr>
          <w:rFonts w:ascii="Arial" w:hAnsi="Arial" w:eastAsia="Arial" w:cs="Arial"/>
          <w:color w:val="auto"/>
          <w:sz w:val="24"/>
          <w:szCs w:val="24"/>
        </w:rPr>
        <w:t>1).</w:t>
      </w:r>
    </w:p>
    <w:p w:rsidR="316E45A4" w:rsidP="45CAAEDF" w:rsidRDefault="316E45A4" w14:paraId="1CAA58F7" w14:textId="504975EF">
      <w:pPr>
        <w:pStyle w:val="Normal"/>
        <w:spacing w:before="240" w:beforeAutospacing="off" w:after="240" w:afterAutospacing="off" w:line="240" w:lineRule="auto"/>
        <w:jc w:val="both"/>
        <w:rPr>
          <w:rFonts w:ascii="Arial" w:hAnsi="Arial" w:eastAsia="Arial" w:cs="Arial"/>
          <w:b w:val="1"/>
          <w:bCs w:val="1"/>
          <w:color w:val="auto"/>
          <w:sz w:val="24"/>
          <w:szCs w:val="24"/>
        </w:rPr>
      </w:pPr>
      <w:r w:rsidRPr="45CAAEDF" w:rsidR="45CAAEDF">
        <w:rPr>
          <w:rFonts w:ascii="Arial" w:hAnsi="Arial" w:eastAsia="Arial" w:cs="Arial"/>
          <w:b w:val="1"/>
          <w:bCs w:val="1"/>
          <w:color w:val="auto"/>
          <w:sz w:val="24"/>
          <w:szCs w:val="24"/>
        </w:rPr>
        <w:t>PACF (Función de autocorrelación parcial)</w:t>
      </w:r>
    </w:p>
    <w:p w:rsidR="316E45A4" w:rsidP="45CAAEDF" w:rsidRDefault="316E45A4" w14:paraId="68D40187" w14:textId="5AA42C08">
      <w:pPr>
        <w:pStyle w:val="ListParagraph"/>
        <w:numPr>
          <w:ilvl w:val="0"/>
          <w:numId w:val="9"/>
        </w:numPr>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También presenta un solo pico significativo en el </w:t>
      </w:r>
      <w:r w:rsidRPr="45CAAEDF" w:rsidR="45CAAEDF">
        <w:rPr>
          <w:rFonts w:ascii="Arial" w:hAnsi="Arial" w:eastAsia="Arial" w:cs="Arial"/>
          <w:color w:val="auto"/>
          <w:sz w:val="24"/>
          <w:szCs w:val="24"/>
        </w:rPr>
        <w:t>lag</w:t>
      </w:r>
      <w:r w:rsidRPr="45CAAEDF" w:rsidR="45CAAEDF">
        <w:rPr>
          <w:rFonts w:ascii="Arial" w:hAnsi="Arial" w:eastAsia="Arial" w:cs="Arial"/>
          <w:color w:val="auto"/>
          <w:sz w:val="24"/>
          <w:szCs w:val="24"/>
        </w:rPr>
        <w:t xml:space="preserve"> 1, con el resto de los valores no significativamente diferentes de cero.</w:t>
      </w:r>
    </w:p>
    <w:p w:rsidR="316E45A4" w:rsidP="45CAAEDF" w:rsidRDefault="316E45A4" w14:paraId="68DC2A6B" w14:textId="6377A40F">
      <w:pPr>
        <w:pStyle w:val="ListParagraph"/>
        <w:numPr>
          <w:ilvl w:val="0"/>
          <w:numId w:val="9"/>
        </w:numPr>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Este comportamiento sugiere la presencia de una estructura </w:t>
      </w:r>
      <w:r w:rsidRPr="45CAAEDF" w:rsidR="45CAAEDF">
        <w:rPr>
          <w:rFonts w:ascii="Arial" w:hAnsi="Arial" w:eastAsia="Arial" w:cs="Arial"/>
          <w:color w:val="auto"/>
          <w:sz w:val="24"/>
          <w:szCs w:val="24"/>
        </w:rPr>
        <w:t>autoregresiva</w:t>
      </w:r>
      <w:r w:rsidRPr="45CAAEDF" w:rsidR="45CAAEDF">
        <w:rPr>
          <w:rFonts w:ascii="Arial" w:hAnsi="Arial" w:eastAsia="Arial" w:cs="Arial"/>
          <w:color w:val="auto"/>
          <w:sz w:val="24"/>
          <w:szCs w:val="24"/>
        </w:rPr>
        <w:t xml:space="preserve"> de primer orden, es decir, </w:t>
      </w:r>
      <w:r w:rsidRPr="45CAAEDF" w:rsidR="45CAAEDF">
        <w:rPr>
          <w:rFonts w:ascii="Arial" w:hAnsi="Arial" w:eastAsia="Arial" w:cs="Arial"/>
          <w:color w:val="auto"/>
          <w:sz w:val="24"/>
          <w:szCs w:val="24"/>
        </w:rPr>
        <w:t>AR(</w:t>
      </w:r>
      <w:r w:rsidRPr="45CAAEDF" w:rsidR="45CAAEDF">
        <w:rPr>
          <w:rFonts w:ascii="Arial" w:hAnsi="Arial" w:eastAsia="Arial" w:cs="Arial"/>
          <w:color w:val="auto"/>
          <w:sz w:val="24"/>
          <w:szCs w:val="24"/>
        </w:rPr>
        <w:t>1).</w:t>
      </w:r>
    </w:p>
    <w:p w:rsidR="316E45A4" w:rsidP="45CAAEDF" w:rsidRDefault="316E45A4" w14:paraId="2356102A" w14:textId="345C55EF">
      <w:pPr>
        <w:pStyle w:val="Normal"/>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Ambas funciones ACF y PACF indican que la serie de log-retornos del precio del oro posee una estructura temporal simple, que puede ser bien capturada por un modelo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1,1).</w:t>
      </w:r>
    </w:p>
    <w:p w:rsidR="316E45A4" w:rsidP="45CAAEDF" w:rsidRDefault="316E45A4" w14:paraId="71333D1D" w14:textId="528842AA">
      <w:pPr>
        <w:pStyle w:val="Normal"/>
        <w:spacing w:before="240" w:beforeAutospacing="off" w:after="240" w:afterAutospacing="off" w:line="240" w:lineRule="auto"/>
        <w:jc w:val="both"/>
        <w:rPr>
          <w:rFonts w:ascii="Arial" w:hAnsi="Arial" w:eastAsia="Arial" w:cs="Arial"/>
          <w:noProof w:val="0"/>
          <w:color w:val="auto"/>
          <w:sz w:val="24"/>
          <w:szCs w:val="24"/>
          <w:lang w:val="es-419"/>
        </w:rPr>
      </w:pPr>
      <w:r w:rsidRPr="45CAAEDF" w:rsidR="45CAAEDF">
        <w:rPr>
          <w:rFonts w:ascii="Arial" w:hAnsi="Arial" w:eastAsia="Arial" w:cs="Arial"/>
          <w:color w:val="auto"/>
          <w:sz w:val="24"/>
          <w:szCs w:val="24"/>
        </w:rPr>
        <w:t xml:space="preserve">La serie diferenciada </w:t>
      </w:r>
      <w:r w:rsidRPr="45CAAEDF" w:rsidR="45CAAEDF">
        <w:rPr>
          <w:rFonts w:ascii="Arial" w:hAnsi="Arial" w:eastAsia="Arial" w:cs="Arial"/>
          <w:color w:val="auto"/>
          <w:sz w:val="24"/>
          <w:szCs w:val="24"/>
        </w:rPr>
        <w:t>log_diff</w:t>
      </w:r>
      <w:r w:rsidRPr="45CAAEDF" w:rsidR="45CAAEDF">
        <w:rPr>
          <w:rFonts w:ascii="Arial" w:hAnsi="Arial" w:eastAsia="Arial" w:cs="Arial"/>
          <w:color w:val="auto"/>
          <w:sz w:val="24"/>
          <w:szCs w:val="24"/>
        </w:rPr>
        <w:t xml:space="preserve"> resultó estacionaria. ACF y PACF indicaron una estructura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 xml:space="preserve">2,1) para los log-retornos, lo cual fue confirmado mediante </w:t>
      </w:r>
      <w:r w:rsidRPr="45CAAEDF" w:rsidR="45CAAEDF">
        <w:rPr>
          <w:rFonts w:ascii="Arial" w:hAnsi="Arial" w:eastAsia="Arial" w:cs="Arial"/>
          <w:color w:val="auto"/>
          <w:sz w:val="24"/>
          <w:szCs w:val="24"/>
        </w:rPr>
        <w:t>backtesting</w:t>
      </w:r>
      <w:r w:rsidRPr="45CAAEDF" w:rsidR="45CAAEDF">
        <w:rPr>
          <w:rFonts w:ascii="Arial" w:hAnsi="Arial" w:eastAsia="Arial" w:cs="Arial"/>
          <w:color w:val="auto"/>
          <w:sz w:val="24"/>
          <w:szCs w:val="24"/>
        </w:rPr>
        <w:t xml:space="preserve"> con evaluación de RMSE y MAE.</w:t>
      </w:r>
    </w:p>
    <w:p w:rsidR="45CAAEDF" w:rsidP="45CAAEDF" w:rsidRDefault="45CAAEDF" w14:paraId="1B020E86" w14:textId="41608912">
      <w:pPr>
        <w:spacing w:before="240" w:beforeAutospacing="off" w:after="240" w:afterAutospacing="off" w:line="240" w:lineRule="auto"/>
        <w:jc w:val="center"/>
        <w:rPr>
          <w:rFonts w:ascii="Arial" w:hAnsi="Arial" w:eastAsia="Arial" w:cs="Arial"/>
          <w:color w:val="auto"/>
          <w:sz w:val="24"/>
          <w:szCs w:val="24"/>
        </w:rPr>
      </w:pPr>
      <w:r>
        <w:drawing>
          <wp:inline wp14:editId="7307FB69" wp14:anchorId="1B33A6D5">
            <wp:extent cx="4045158" cy="1168460"/>
            <wp:effectExtent l="0" t="0" r="0" b="0"/>
            <wp:docPr id="287820718" name="" title=""/>
            <wp:cNvGraphicFramePr>
              <a:graphicFrameLocks noChangeAspect="1"/>
            </wp:cNvGraphicFramePr>
            <a:graphic>
              <a:graphicData uri="http://schemas.openxmlformats.org/drawingml/2006/picture">
                <pic:pic>
                  <pic:nvPicPr>
                    <pic:cNvPr id="0" name=""/>
                    <pic:cNvPicPr/>
                  </pic:nvPicPr>
                  <pic:blipFill>
                    <a:blip r:embed="R94831f338c3f4741">
                      <a:extLst>
                        <a:ext xmlns:a="http://schemas.openxmlformats.org/drawingml/2006/main" uri="{28A0092B-C50C-407E-A947-70E740481C1C}">
                          <a14:useLocalDpi val="0"/>
                        </a:ext>
                      </a:extLst>
                    </a:blip>
                    <a:stretch>
                      <a:fillRect/>
                    </a:stretch>
                  </pic:blipFill>
                  <pic:spPr>
                    <a:xfrm>
                      <a:off x="0" y="0"/>
                      <a:ext cx="4045158" cy="1168460"/>
                    </a:xfrm>
                    <a:prstGeom prst="rect">
                      <a:avLst/>
                    </a:prstGeom>
                  </pic:spPr>
                </pic:pic>
              </a:graphicData>
            </a:graphic>
          </wp:inline>
        </w:drawing>
      </w:r>
    </w:p>
    <w:p w:rsidR="45CAAEDF" w:rsidP="45CAAEDF" w:rsidRDefault="45CAAEDF" w14:paraId="01721E82" w14:textId="4B0F9527">
      <w:pPr>
        <w:pStyle w:val="Normal"/>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Adicionalmente al enfoque sobre log-retornos, se exploró la posibilidad de modelar la serie de precios del oro en nivel mediante modelos ARIMA con mayor grado de diferenciación, </w:t>
      </w:r>
      <w:r w:rsidRPr="45CAAEDF" w:rsidR="45CAAEDF">
        <w:rPr>
          <w:rFonts w:ascii="Arial" w:hAnsi="Arial" w:eastAsia="Arial" w:cs="Arial"/>
          <w:color w:val="auto"/>
          <w:sz w:val="24"/>
          <w:szCs w:val="24"/>
        </w:rPr>
        <w:t>dado que,</w:t>
      </w:r>
      <w:r w:rsidRPr="45CAAEDF" w:rsidR="45CAAEDF">
        <w:rPr>
          <w:rFonts w:ascii="Arial" w:hAnsi="Arial" w:eastAsia="Arial" w:cs="Arial"/>
          <w:color w:val="auto"/>
          <w:sz w:val="24"/>
          <w:szCs w:val="24"/>
        </w:rPr>
        <w:t xml:space="preserve"> en la serie original, tal como se evidenció anteriormente, persistían indicios de no estacionariedad incluso después de la transformación logarítmica y la primera diferencia.</w:t>
      </w:r>
    </w:p>
    <w:p w:rsidR="45CAAEDF" w:rsidP="45CAAEDF" w:rsidRDefault="45CAAEDF" w14:paraId="332E90E5" w14:textId="73EC10AC">
      <w:pPr>
        <w:pStyle w:val="Normal"/>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Por tal motivo, se evaluaron diferentes especificaciones de modelos ARIMA (</w:t>
      </w:r>
      <w:r w:rsidRPr="45CAAEDF" w:rsidR="45CAAEDF">
        <w:rPr>
          <w:rFonts w:ascii="Arial" w:hAnsi="Arial" w:eastAsia="Arial" w:cs="Arial"/>
          <w:color w:val="auto"/>
          <w:sz w:val="24"/>
          <w:szCs w:val="24"/>
        </w:rPr>
        <w:t>p,d,q</w:t>
      </w:r>
      <w:r w:rsidRPr="45CAAEDF" w:rsidR="45CAAEDF">
        <w:rPr>
          <w:rFonts w:ascii="Arial" w:hAnsi="Arial" w:eastAsia="Arial" w:cs="Arial"/>
          <w:color w:val="auto"/>
          <w:sz w:val="24"/>
          <w:szCs w:val="24"/>
        </w:rPr>
        <w:t>) con dos diferenciaciones, contrastando su capacidad predictiva y sus métricas de ajuste con los modelos seleccionados sobre log-retornos. Esto permitió comparar de manera robusta qué enfoque resultaba más adecuado para anticipar el comportamiento futuro del precio del oro, considerando la naturaleza de los datos y los objetivos del análisis.</w:t>
      </w:r>
    </w:p>
    <w:p w:rsidR="45CAAEDF" w:rsidP="45CAAEDF" w:rsidRDefault="45CAAEDF" w14:paraId="56C17814" w14:textId="04EE570E">
      <w:pPr>
        <w:pStyle w:val="Normal"/>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Los resultados y detalles de estos enfoques se presentan a profundidad en la siguiente sección.</w:t>
      </w:r>
    </w:p>
    <w:p w:rsidR="316E45A4" w:rsidP="45CAAEDF" w:rsidRDefault="316E45A4" w14:paraId="2869AA98" w14:textId="12DDBE94">
      <w:pPr>
        <w:pStyle w:val="Heading3"/>
        <w:spacing w:before="281" w:beforeAutospacing="off" w:after="281" w:afterAutospacing="off" w:line="240" w:lineRule="auto"/>
        <w:jc w:val="both"/>
        <w:rPr>
          <w:rFonts w:ascii="Arial" w:hAnsi="Arial" w:eastAsia="Arial" w:cs="Arial"/>
          <w:b w:val="1"/>
          <w:bCs w:val="1"/>
          <w:color w:val="auto"/>
          <w:sz w:val="24"/>
          <w:szCs w:val="24"/>
        </w:rPr>
      </w:pPr>
      <w:bookmarkStart w:name="_Toc858363125" w:id="1703822857"/>
      <w:bookmarkStart w:name="_Toc851180657" w:id="579093152"/>
      <w:r w:rsidRPr="45CAAEDF" w:rsidR="45CAAEDF">
        <w:rPr>
          <w:rFonts w:ascii="Arial" w:hAnsi="Arial" w:eastAsia="Arial" w:cs="Arial"/>
          <w:b w:val="1"/>
          <w:bCs w:val="1"/>
          <w:color w:val="auto"/>
          <w:sz w:val="24"/>
          <w:szCs w:val="24"/>
        </w:rPr>
        <w:t>b. Modelado y selección de modelo</w:t>
      </w:r>
      <w:bookmarkEnd w:id="1703822857"/>
      <w:bookmarkEnd w:id="579093152"/>
    </w:p>
    <w:p w:rsidR="316E45A4" w:rsidP="45CAAEDF" w:rsidRDefault="316E45A4" w14:paraId="36EEF4AF" w14:textId="48259BA7">
      <w:pPr>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Se compararon modelos </w:t>
      </w:r>
      <w:r w:rsidRPr="45CAAEDF" w:rsidR="45CAAEDF">
        <w:rPr>
          <w:rFonts w:ascii="Arial" w:hAnsi="Arial" w:eastAsia="Arial" w:cs="Arial"/>
          <w:color w:val="auto"/>
          <w:sz w:val="24"/>
          <w:szCs w:val="24"/>
        </w:rPr>
        <w:t>AR(</w:t>
      </w:r>
      <w:r w:rsidRPr="45CAAEDF" w:rsidR="45CAAEDF">
        <w:rPr>
          <w:rFonts w:ascii="Arial" w:hAnsi="Arial" w:eastAsia="Arial" w:cs="Arial"/>
          <w:color w:val="auto"/>
          <w:sz w:val="24"/>
          <w:szCs w:val="24"/>
        </w:rPr>
        <w:t xml:space="preserve">1), </w:t>
      </w:r>
      <w:r w:rsidRPr="45CAAEDF" w:rsidR="45CAAEDF">
        <w:rPr>
          <w:rFonts w:ascii="Arial" w:hAnsi="Arial" w:eastAsia="Arial" w:cs="Arial"/>
          <w:color w:val="auto"/>
          <w:sz w:val="24"/>
          <w:szCs w:val="24"/>
        </w:rPr>
        <w:t>MA(</w:t>
      </w:r>
      <w:r w:rsidRPr="45CAAEDF" w:rsidR="45CAAEDF">
        <w:rPr>
          <w:rFonts w:ascii="Arial" w:hAnsi="Arial" w:eastAsia="Arial" w:cs="Arial"/>
          <w:color w:val="auto"/>
          <w:sz w:val="24"/>
          <w:szCs w:val="24"/>
        </w:rPr>
        <w:t xml:space="preserve">1),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 xml:space="preserve">1,1),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 xml:space="preserve">2,1),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 xml:space="preserve">2,2) y otros. El modelo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2,1) fue seleccionado por tener el mejor equilibrio entre capacidad predictiva (menor MAE y RMSE) y complejidad.</w:t>
      </w:r>
    </w:p>
    <w:p w:rsidR="45CAAEDF" w:rsidP="45CAAEDF" w:rsidRDefault="45CAAEDF" w14:paraId="04B0E4C3" w14:textId="5A11B76E">
      <w:pPr>
        <w:spacing w:before="240" w:beforeAutospacing="off" w:after="240" w:afterAutospacing="off" w:line="240" w:lineRule="auto"/>
        <w:jc w:val="center"/>
        <w:rPr>
          <w:rFonts w:ascii="Arial" w:hAnsi="Arial" w:eastAsia="Arial" w:cs="Arial"/>
          <w:color w:val="auto"/>
          <w:sz w:val="24"/>
          <w:szCs w:val="24"/>
        </w:rPr>
      </w:pPr>
      <w:r>
        <w:drawing>
          <wp:inline wp14:editId="5F6BE0ED" wp14:anchorId="3CF85D08">
            <wp:extent cx="2597284" cy="1606633"/>
            <wp:effectExtent l="0" t="0" r="0" b="0"/>
            <wp:docPr id="2021393255" name="" title=""/>
            <wp:cNvGraphicFramePr>
              <a:graphicFrameLocks noChangeAspect="1"/>
            </wp:cNvGraphicFramePr>
            <a:graphic>
              <a:graphicData uri="http://schemas.openxmlformats.org/drawingml/2006/picture">
                <pic:pic>
                  <pic:nvPicPr>
                    <pic:cNvPr id="0" name=""/>
                    <pic:cNvPicPr/>
                  </pic:nvPicPr>
                  <pic:blipFill>
                    <a:blip r:embed="Rda26196d2d0940d0">
                      <a:extLst>
                        <a:ext xmlns:a="http://schemas.openxmlformats.org/drawingml/2006/main" uri="{28A0092B-C50C-407E-A947-70E740481C1C}">
                          <a14:useLocalDpi val="0"/>
                        </a:ext>
                      </a:extLst>
                    </a:blip>
                    <a:stretch>
                      <a:fillRect/>
                    </a:stretch>
                  </pic:blipFill>
                  <pic:spPr>
                    <a:xfrm>
                      <a:off x="0" y="0"/>
                      <a:ext cx="2597284" cy="1606633"/>
                    </a:xfrm>
                    <a:prstGeom prst="rect">
                      <a:avLst/>
                    </a:prstGeom>
                  </pic:spPr>
                </pic:pic>
              </a:graphicData>
            </a:graphic>
          </wp:inline>
        </w:drawing>
      </w:r>
    </w:p>
    <w:p w:rsidR="45CAAEDF" w:rsidP="45CAAEDF" w:rsidRDefault="45CAAEDF" w14:paraId="2CC5D5CB" w14:textId="6FC99D02">
      <w:pPr>
        <w:pStyle w:val="Normal"/>
        <w:suppressLineNumbers w:val="0"/>
        <w:bidi w:val="0"/>
        <w:spacing w:before="240" w:beforeAutospacing="off" w:after="240" w:afterAutospacing="off" w:line="240" w:lineRule="auto"/>
        <w:ind w:left="0" w:right="0"/>
        <w:jc w:val="both"/>
        <w:rPr>
          <w:rFonts w:ascii="Arial" w:hAnsi="Arial" w:eastAsia="Arial" w:cs="Arial"/>
          <w:b w:val="1"/>
          <w:bCs w:val="1"/>
          <w:color w:val="auto"/>
          <w:sz w:val="24"/>
          <w:szCs w:val="24"/>
        </w:rPr>
      </w:pPr>
      <w:r w:rsidRPr="45CAAEDF" w:rsidR="45CAAEDF">
        <w:rPr>
          <w:rFonts w:ascii="Arial" w:hAnsi="Arial" w:eastAsia="Arial" w:cs="Arial"/>
          <w:b w:val="1"/>
          <w:bCs w:val="1"/>
          <w:color w:val="auto"/>
          <w:sz w:val="24"/>
          <w:szCs w:val="24"/>
        </w:rPr>
        <w:t>Análisis</w:t>
      </w:r>
    </w:p>
    <w:p w:rsidR="45CAAEDF" w:rsidP="45CAAEDF" w:rsidRDefault="45CAAEDF" w14:paraId="3B41B138" w14:textId="6F09D315">
      <w:pPr>
        <w:pStyle w:val="ListParagraph"/>
        <w:numPr>
          <w:ilvl w:val="0"/>
          <w:numId w:val="10"/>
        </w:numPr>
        <w:spacing w:before="240" w:beforeAutospacing="off" w:after="240" w:afterAutospacing="off" w:line="240" w:lineRule="auto"/>
        <w:jc w:val="both"/>
        <w:rPr>
          <w:rFonts w:ascii="Arial" w:hAnsi="Arial" w:eastAsia="Arial" w:cs="Arial"/>
          <w:b w:val="0"/>
          <w:bCs w:val="0"/>
          <w:color w:val="auto"/>
          <w:sz w:val="24"/>
          <w:szCs w:val="24"/>
        </w:rPr>
      </w:pPr>
      <w:r w:rsidRPr="45CAAEDF" w:rsidR="45CAAEDF">
        <w:rPr>
          <w:rFonts w:ascii="Arial" w:hAnsi="Arial" w:eastAsia="Arial" w:cs="Arial"/>
          <w:b w:val="0"/>
          <w:bCs w:val="0"/>
          <w:color w:val="auto"/>
          <w:sz w:val="24"/>
          <w:szCs w:val="24"/>
        </w:rPr>
        <w:t xml:space="preserve">Precisión predictiva (MAE y RMSE): </w:t>
      </w:r>
      <w:r w:rsidRPr="45CAAEDF" w:rsidR="45CAAEDF">
        <w:rPr>
          <w:rFonts w:ascii="Arial" w:hAnsi="Arial" w:eastAsia="Arial" w:cs="Arial"/>
          <w:b w:val="0"/>
          <w:bCs w:val="0"/>
          <w:color w:val="auto"/>
          <w:sz w:val="24"/>
          <w:szCs w:val="24"/>
        </w:rPr>
        <w:t xml:space="preserve">El modelo </w:t>
      </w:r>
      <w:r w:rsidRPr="45CAAEDF" w:rsidR="45CAAEDF">
        <w:rPr>
          <w:rFonts w:ascii="Arial" w:hAnsi="Arial" w:eastAsia="Arial" w:cs="Arial"/>
          <w:b w:val="0"/>
          <w:bCs w:val="0"/>
          <w:color w:val="auto"/>
          <w:sz w:val="24"/>
          <w:szCs w:val="24"/>
        </w:rPr>
        <w:t>ARMA(</w:t>
      </w:r>
      <w:r w:rsidRPr="45CAAEDF" w:rsidR="45CAAEDF">
        <w:rPr>
          <w:rFonts w:ascii="Arial" w:hAnsi="Arial" w:eastAsia="Arial" w:cs="Arial"/>
          <w:b w:val="0"/>
          <w:bCs w:val="0"/>
          <w:color w:val="auto"/>
          <w:sz w:val="24"/>
          <w:szCs w:val="24"/>
        </w:rPr>
        <w:t>2,1) presenta el menor error absoluto medio (MAE = 0.0310) y el menor error cuadrático medio (RMSE = 0.0391), lo cual indica mejor desempeño en la predicción a corto plazo.</w:t>
      </w:r>
    </w:p>
    <w:p w:rsidR="45CAAEDF" w:rsidP="45CAAEDF" w:rsidRDefault="45CAAEDF" w14:paraId="2F72B74A" w14:textId="28AB6925">
      <w:pPr>
        <w:pStyle w:val="ListParagraph"/>
        <w:numPr>
          <w:ilvl w:val="0"/>
          <w:numId w:val="10"/>
        </w:numPr>
        <w:spacing w:before="240" w:beforeAutospacing="off" w:after="240" w:afterAutospacing="off" w:line="240" w:lineRule="auto"/>
        <w:jc w:val="both"/>
        <w:rPr>
          <w:rFonts w:ascii="Arial" w:hAnsi="Arial" w:eastAsia="Arial" w:cs="Arial"/>
          <w:b w:val="0"/>
          <w:bCs w:val="0"/>
          <w:color w:val="auto"/>
          <w:sz w:val="24"/>
          <w:szCs w:val="24"/>
        </w:rPr>
      </w:pPr>
      <w:r w:rsidRPr="45CAAEDF" w:rsidR="45CAAEDF">
        <w:rPr>
          <w:rFonts w:ascii="Arial" w:hAnsi="Arial" w:eastAsia="Arial" w:cs="Arial"/>
          <w:b w:val="0"/>
          <w:bCs w:val="0"/>
          <w:color w:val="auto"/>
          <w:sz w:val="24"/>
          <w:szCs w:val="24"/>
        </w:rPr>
        <w:t xml:space="preserve">Criterios de información (AIC y BIC): </w:t>
      </w:r>
      <w:r w:rsidRPr="45CAAEDF" w:rsidR="45CAAEDF">
        <w:rPr>
          <w:rFonts w:ascii="Arial" w:hAnsi="Arial" w:eastAsia="Arial" w:cs="Arial"/>
          <w:b w:val="0"/>
          <w:bCs w:val="0"/>
          <w:color w:val="auto"/>
          <w:sz w:val="24"/>
          <w:szCs w:val="24"/>
        </w:rPr>
        <w:t xml:space="preserve">Aunque el modelo </w:t>
      </w:r>
      <w:r w:rsidRPr="45CAAEDF" w:rsidR="45CAAEDF">
        <w:rPr>
          <w:rFonts w:ascii="Arial" w:hAnsi="Arial" w:eastAsia="Arial" w:cs="Arial"/>
          <w:b w:val="0"/>
          <w:bCs w:val="0"/>
          <w:color w:val="auto"/>
          <w:sz w:val="24"/>
          <w:szCs w:val="24"/>
        </w:rPr>
        <w:t>MA(</w:t>
      </w:r>
      <w:r w:rsidRPr="45CAAEDF" w:rsidR="45CAAEDF">
        <w:rPr>
          <w:rFonts w:ascii="Arial" w:hAnsi="Arial" w:eastAsia="Arial" w:cs="Arial"/>
          <w:b w:val="0"/>
          <w:bCs w:val="0"/>
          <w:color w:val="auto"/>
          <w:sz w:val="24"/>
          <w:szCs w:val="24"/>
        </w:rPr>
        <w:t xml:space="preserve">1) tiene el mejor AIC (-1138.81), sus métricas de predicción son ligeramente peores. Asimismo, el modelo </w:t>
      </w:r>
      <w:r w:rsidRPr="45CAAEDF" w:rsidR="45CAAEDF">
        <w:rPr>
          <w:rFonts w:ascii="Arial" w:hAnsi="Arial" w:eastAsia="Arial" w:cs="Arial"/>
          <w:b w:val="0"/>
          <w:bCs w:val="0"/>
          <w:color w:val="auto"/>
          <w:sz w:val="24"/>
          <w:szCs w:val="24"/>
        </w:rPr>
        <w:t>ARMA(</w:t>
      </w:r>
      <w:r w:rsidRPr="45CAAEDF" w:rsidR="45CAAEDF">
        <w:rPr>
          <w:rFonts w:ascii="Arial" w:hAnsi="Arial" w:eastAsia="Arial" w:cs="Arial"/>
          <w:b w:val="0"/>
          <w:bCs w:val="0"/>
          <w:color w:val="auto"/>
          <w:sz w:val="24"/>
          <w:szCs w:val="24"/>
        </w:rPr>
        <w:t xml:space="preserve">1,1) presenta el segundo mejor AIC, pero no mejora en precisión predictiva respecto a </w:t>
      </w:r>
      <w:r w:rsidRPr="45CAAEDF" w:rsidR="45CAAEDF">
        <w:rPr>
          <w:rFonts w:ascii="Arial" w:hAnsi="Arial" w:eastAsia="Arial" w:cs="Arial"/>
          <w:b w:val="0"/>
          <w:bCs w:val="0"/>
          <w:color w:val="auto"/>
          <w:sz w:val="24"/>
          <w:szCs w:val="24"/>
        </w:rPr>
        <w:t>ARMA(</w:t>
      </w:r>
      <w:r w:rsidRPr="45CAAEDF" w:rsidR="45CAAEDF">
        <w:rPr>
          <w:rFonts w:ascii="Arial" w:hAnsi="Arial" w:eastAsia="Arial" w:cs="Arial"/>
          <w:b w:val="0"/>
          <w:bCs w:val="0"/>
          <w:color w:val="auto"/>
          <w:sz w:val="24"/>
          <w:szCs w:val="24"/>
        </w:rPr>
        <w:t>2,1).</w:t>
      </w:r>
    </w:p>
    <w:p w:rsidR="45CAAEDF" w:rsidP="45CAAEDF" w:rsidRDefault="45CAAEDF" w14:paraId="6CDFE8AE" w14:textId="1310C0A1">
      <w:pPr>
        <w:pStyle w:val="ListParagraph"/>
        <w:numPr>
          <w:ilvl w:val="0"/>
          <w:numId w:val="10"/>
        </w:numPr>
        <w:spacing w:before="240" w:beforeAutospacing="off" w:after="240" w:afterAutospacing="off" w:line="240" w:lineRule="auto"/>
        <w:jc w:val="both"/>
        <w:rPr>
          <w:rFonts w:ascii="Arial" w:hAnsi="Arial" w:eastAsia="Arial" w:cs="Arial"/>
          <w:b w:val="0"/>
          <w:bCs w:val="0"/>
          <w:color w:val="auto"/>
          <w:sz w:val="24"/>
          <w:szCs w:val="24"/>
        </w:rPr>
      </w:pPr>
      <w:r w:rsidRPr="45CAAEDF" w:rsidR="45CAAEDF">
        <w:rPr>
          <w:rFonts w:ascii="Arial" w:hAnsi="Arial" w:eastAsia="Arial" w:cs="Arial"/>
          <w:b w:val="0"/>
          <w:bCs w:val="0"/>
          <w:color w:val="auto"/>
          <w:sz w:val="24"/>
          <w:szCs w:val="24"/>
        </w:rPr>
        <w:t xml:space="preserve">Complejidad del modelo: </w:t>
      </w:r>
      <w:r w:rsidRPr="45CAAEDF" w:rsidR="45CAAEDF">
        <w:rPr>
          <w:rFonts w:ascii="Arial" w:hAnsi="Arial" w:eastAsia="Arial" w:cs="Arial"/>
          <w:b w:val="0"/>
          <w:bCs w:val="0"/>
          <w:color w:val="auto"/>
          <w:sz w:val="24"/>
          <w:szCs w:val="24"/>
        </w:rPr>
        <w:t xml:space="preserve">El modelo </w:t>
      </w:r>
      <w:r w:rsidRPr="45CAAEDF" w:rsidR="45CAAEDF">
        <w:rPr>
          <w:rFonts w:ascii="Arial" w:hAnsi="Arial" w:eastAsia="Arial" w:cs="Arial"/>
          <w:b w:val="0"/>
          <w:bCs w:val="0"/>
          <w:color w:val="auto"/>
          <w:sz w:val="24"/>
          <w:szCs w:val="24"/>
        </w:rPr>
        <w:t>ARMA(</w:t>
      </w:r>
      <w:r w:rsidRPr="45CAAEDF" w:rsidR="45CAAEDF">
        <w:rPr>
          <w:rFonts w:ascii="Arial" w:hAnsi="Arial" w:eastAsia="Arial" w:cs="Arial"/>
          <w:b w:val="0"/>
          <w:bCs w:val="0"/>
          <w:color w:val="auto"/>
          <w:sz w:val="24"/>
          <w:szCs w:val="24"/>
        </w:rPr>
        <w:t xml:space="preserve">2,1) representa un equilibrio razonable entre complejidad y rendimiento. Modelos más complejos como </w:t>
      </w:r>
      <w:r w:rsidRPr="45CAAEDF" w:rsidR="45CAAEDF">
        <w:rPr>
          <w:rFonts w:ascii="Arial" w:hAnsi="Arial" w:eastAsia="Arial" w:cs="Arial"/>
          <w:b w:val="0"/>
          <w:bCs w:val="0"/>
          <w:color w:val="auto"/>
          <w:sz w:val="24"/>
          <w:szCs w:val="24"/>
        </w:rPr>
        <w:t>ARMA(</w:t>
      </w:r>
      <w:r w:rsidRPr="45CAAEDF" w:rsidR="45CAAEDF">
        <w:rPr>
          <w:rFonts w:ascii="Arial" w:hAnsi="Arial" w:eastAsia="Arial" w:cs="Arial"/>
          <w:b w:val="0"/>
          <w:bCs w:val="0"/>
          <w:color w:val="auto"/>
          <w:sz w:val="24"/>
          <w:szCs w:val="24"/>
        </w:rPr>
        <w:t xml:space="preserve">2,2) o </w:t>
      </w:r>
      <w:r w:rsidRPr="45CAAEDF" w:rsidR="45CAAEDF">
        <w:rPr>
          <w:rFonts w:ascii="Arial" w:hAnsi="Arial" w:eastAsia="Arial" w:cs="Arial"/>
          <w:b w:val="0"/>
          <w:bCs w:val="0"/>
          <w:color w:val="auto"/>
          <w:sz w:val="24"/>
          <w:szCs w:val="24"/>
        </w:rPr>
        <w:t>ARMA(</w:t>
      </w:r>
      <w:r w:rsidRPr="45CAAEDF" w:rsidR="45CAAEDF">
        <w:rPr>
          <w:rFonts w:ascii="Arial" w:hAnsi="Arial" w:eastAsia="Arial" w:cs="Arial"/>
          <w:b w:val="0"/>
          <w:bCs w:val="0"/>
          <w:color w:val="auto"/>
          <w:sz w:val="24"/>
          <w:szCs w:val="24"/>
        </w:rPr>
        <w:t>1,2) no aportan mejoras significativas en desempeño y sí aumentan el número de parámetros.</w:t>
      </w:r>
    </w:p>
    <w:p w:rsidR="45CAAEDF" w:rsidP="45CAAEDF" w:rsidRDefault="45CAAEDF" w14:paraId="5D997E2B" w14:textId="1BB4FD42">
      <w:pPr>
        <w:pStyle w:val="Normal"/>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El modelo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2,1) es el más adecuado para continuar el análisis de los model</w:t>
      </w:r>
      <w:r w:rsidRPr="45CAAEDF" w:rsidR="45CAAEDF">
        <w:rPr>
          <w:rFonts w:ascii="Arial" w:hAnsi="Arial" w:eastAsia="Arial" w:cs="Arial"/>
          <w:color w:val="auto"/>
          <w:sz w:val="24"/>
          <w:szCs w:val="24"/>
        </w:rPr>
        <w:t>os que hemo</w:t>
      </w:r>
      <w:r w:rsidRPr="45CAAEDF" w:rsidR="45CAAEDF">
        <w:rPr>
          <w:rFonts w:ascii="Arial" w:hAnsi="Arial" w:eastAsia="Arial" w:cs="Arial"/>
          <w:color w:val="auto"/>
          <w:sz w:val="24"/>
          <w:szCs w:val="24"/>
        </w:rPr>
        <w:t>s comparado hasta el momento. Ofrece el mejor rendimiento en predicción a 6 meses y mantiene un nivel moderado de complejidad. Será utilizado para reconstruir el precio del oro en escala real y generar la proyección futura.</w:t>
      </w:r>
    </w:p>
    <w:p w:rsidR="45CAAEDF" w:rsidP="45CAAEDF" w:rsidRDefault="45CAAEDF" w14:paraId="706E2357" w14:textId="4C64AADB">
      <w:pPr>
        <w:pStyle w:val="Normal"/>
        <w:spacing w:before="240" w:beforeAutospacing="off" w:after="240" w:afterAutospacing="off" w:line="240" w:lineRule="auto"/>
        <w:jc w:val="both"/>
        <w:rPr>
          <w:rFonts w:ascii="Arial" w:hAnsi="Arial" w:eastAsia="Arial" w:cs="Arial"/>
          <w:color w:val="auto"/>
          <w:sz w:val="24"/>
          <w:szCs w:val="24"/>
        </w:rPr>
      </w:pPr>
    </w:p>
    <w:p w:rsidR="45CAAEDF" w:rsidP="45CAAEDF" w:rsidRDefault="45CAAEDF" w14:paraId="4A40B352" w14:textId="72CF1FA7">
      <w:pPr>
        <w:spacing w:before="240" w:beforeAutospacing="off" w:after="240" w:afterAutospacing="off" w:line="240" w:lineRule="auto"/>
        <w:jc w:val="both"/>
        <w:rPr>
          <w:rFonts w:ascii="Arial" w:hAnsi="Arial" w:eastAsia="Arial" w:cs="Arial"/>
          <w:b w:val="1"/>
          <w:bCs w:val="1"/>
          <w:color w:val="auto"/>
          <w:sz w:val="24"/>
          <w:szCs w:val="24"/>
        </w:rPr>
      </w:pPr>
      <w:r w:rsidRPr="45CAAEDF" w:rsidR="45CAAEDF">
        <w:rPr>
          <w:rFonts w:ascii="Arial" w:hAnsi="Arial" w:eastAsia="Arial" w:cs="Arial"/>
          <w:b w:val="1"/>
          <w:bCs w:val="1"/>
          <w:color w:val="auto"/>
          <w:sz w:val="24"/>
          <w:szCs w:val="24"/>
        </w:rPr>
        <w:t>Modelo ARIMA:</w:t>
      </w:r>
    </w:p>
    <w:p w:rsidR="45CAAEDF" w:rsidP="45CAAEDF" w:rsidRDefault="45CAAEDF" w14:paraId="328C7530" w14:textId="65852B3A">
      <w:pPr>
        <w:spacing w:before="0" w:beforeAutospacing="off" w:after="160" w:afterAutospacing="off"/>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Ahora bien, además del enfoque explorado anteriormente, se implementó un modelo ARIMA directamente sobre la serie mensual de precios del oro. Para identificar la estructura temporal más adecuada, se compararon diez configuraciones ARIMA, evaluando el desempeño de cada modelo principalmente a través de los criterios de información de Akaike (AIC) y Bayesiano (BIC), y considerando adicionalmente los indicadores de error RMSE y MAE para asegurar un análisis más robusto.</w:t>
      </w:r>
    </w:p>
    <w:p w:rsidR="45CAAEDF" w:rsidP="45CAAEDF" w:rsidRDefault="45CAAEDF" w14:paraId="58B8D9B5" w14:textId="034F1582">
      <w:pPr>
        <w:pStyle w:val="Normal"/>
        <w:spacing w:before="0" w:beforeAutospacing="off" w:after="160" w:afterAutospacing="off"/>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Inicialmente, se probaron modelos básicos como Random Walk (ARIMA(0,1,0)), modelos autorregresivos y de medias móviles simples (ARIMA(1,1,0), ARIMA(0,1,1)), así como una configuración combinada (ARIMA(1,1,1)). Posteriormente, para afinar la selección y garantizar mayor robustez en el análisis, se amplió el set de modelos evaluados incluyendo configuraciones más complejas (por ejemplo, ARIMA(3,2,5), ARIMA(4,2,2), ARIMA(5,2,2)), utilizando una búsqueda sistemática con auto_arima para identificar el mejor ajuste posible.</w:t>
      </w:r>
    </w:p>
    <w:p w:rsidR="45CAAEDF" w:rsidP="45CAAEDF" w:rsidRDefault="45CAAEDF" w14:paraId="0D368BC7" w14:textId="4C02E775">
      <w:pPr>
        <w:pStyle w:val="Normal"/>
        <w:suppressLineNumbers w:val="0"/>
        <w:bidi w:val="0"/>
        <w:spacing w:before="0" w:beforeAutospacing="off" w:after="160" w:afterAutospacing="off" w:line="279" w:lineRule="auto"/>
        <w:ind w:left="0" w:right="0"/>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La siguiente tabla muestra los resultados obtenidos para cada configuración evaluada, facilitando la comparación objetiva entre alternativas en términos de AIC, BIC, RMSE y MAE:</w:t>
      </w:r>
    </w:p>
    <w:p w:rsidR="45CAAEDF" w:rsidP="45CAAEDF" w:rsidRDefault="45CAAEDF" w14:paraId="63562917" w14:textId="4707D178">
      <w:pPr>
        <w:spacing w:before="0" w:beforeAutospacing="off" w:after="160" w:afterAutospacing="off"/>
        <w:jc w:val="center"/>
      </w:pPr>
      <w:r>
        <w:drawing>
          <wp:inline wp14:editId="29C62711" wp14:anchorId="639D2705">
            <wp:extent cx="3901557" cy="3185992"/>
            <wp:effectExtent l="0" t="0" r="0" b="0"/>
            <wp:docPr id="574629893" name="" title=""/>
            <wp:cNvGraphicFramePr>
              <a:graphicFrameLocks noChangeAspect="1"/>
            </wp:cNvGraphicFramePr>
            <a:graphic>
              <a:graphicData uri="http://schemas.openxmlformats.org/drawingml/2006/picture">
                <pic:pic>
                  <pic:nvPicPr>
                    <pic:cNvPr id="0" name=""/>
                    <pic:cNvPicPr/>
                  </pic:nvPicPr>
                  <pic:blipFill>
                    <a:blip r:embed="R975e6681b81d4e85">
                      <a:extLst>
                        <a:ext xmlns:a="http://schemas.openxmlformats.org/drawingml/2006/main" uri="{28A0092B-C50C-407E-A947-70E740481C1C}">
                          <a14:useLocalDpi val="0"/>
                        </a:ext>
                      </a:extLst>
                    </a:blip>
                    <a:srcRect l="5291" t="0" r="0" b="0"/>
                    <a:stretch>
                      <a:fillRect/>
                    </a:stretch>
                  </pic:blipFill>
                  <pic:spPr>
                    <a:xfrm>
                      <a:off x="0" y="0"/>
                      <a:ext cx="3901557" cy="3185992"/>
                    </a:xfrm>
                    <a:prstGeom prst="rect">
                      <a:avLst/>
                    </a:prstGeom>
                  </pic:spPr>
                </pic:pic>
              </a:graphicData>
            </a:graphic>
          </wp:inline>
        </w:drawing>
      </w:r>
    </w:p>
    <w:p w:rsidR="45CAAEDF" w:rsidP="45CAAEDF" w:rsidRDefault="45CAAEDF" w14:paraId="0D4A810D" w14:textId="756BB438">
      <w:pPr>
        <w:spacing w:before="0" w:beforeAutospacing="off" w:after="160" w:afterAutospacing="off"/>
        <w:jc w:val="both"/>
        <w:rPr>
          <w:rFonts w:ascii="Arial" w:hAnsi="Arial" w:eastAsia="Arial" w:cs="Arial"/>
          <w:b w:val="0"/>
          <w:bCs w:val="0"/>
          <w:noProof w:val="0"/>
          <w:sz w:val="24"/>
          <w:szCs w:val="24"/>
          <w:lang w:val="es-CL"/>
        </w:rPr>
      </w:pPr>
      <w:r w:rsidRPr="45CAAEDF" w:rsidR="45CAAEDF">
        <w:rPr>
          <w:rFonts w:ascii="Arial" w:hAnsi="Arial" w:eastAsia="Arial" w:cs="Arial"/>
          <w:b w:val="0"/>
          <w:bCs w:val="0"/>
          <w:noProof w:val="0"/>
          <w:sz w:val="24"/>
          <w:szCs w:val="24"/>
          <w:lang w:val="es-CL"/>
        </w:rPr>
        <w:t xml:space="preserve">De acuerdo con estos resultados, el modelo </w:t>
      </w:r>
      <w:r w:rsidRPr="45CAAEDF" w:rsidR="45CAAEDF">
        <w:rPr>
          <w:rFonts w:ascii="Arial" w:hAnsi="Arial" w:eastAsia="Arial" w:cs="Arial"/>
          <w:b w:val="0"/>
          <w:bCs w:val="0"/>
          <w:noProof w:val="0"/>
          <w:sz w:val="24"/>
          <w:szCs w:val="24"/>
          <w:lang w:val="es-CL"/>
        </w:rPr>
        <w:t>ARIMA(</w:t>
      </w:r>
      <w:r w:rsidRPr="45CAAEDF" w:rsidR="45CAAEDF">
        <w:rPr>
          <w:rFonts w:ascii="Arial" w:hAnsi="Arial" w:eastAsia="Arial" w:cs="Arial"/>
          <w:b w:val="0"/>
          <w:bCs w:val="0"/>
          <w:noProof w:val="0"/>
          <w:sz w:val="24"/>
          <w:szCs w:val="24"/>
          <w:lang w:val="es-CL"/>
        </w:rPr>
        <w:t>3,2,5)</w:t>
      </w:r>
      <w:r w:rsidRPr="45CAAEDF" w:rsidR="45CAAEDF">
        <w:rPr>
          <w:rFonts w:ascii="Arial" w:hAnsi="Arial" w:eastAsia="Arial" w:cs="Arial"/>
          <w:b w:val="0"/>
          <w:bCs w:val="0"/>
          <w:noProof w:val="0"/>
          <w:sz w:val="24"/>
          <w:szCs w:val="24"/>
          <w:lang w:val="es-CL"/>
        </w:rPr>
        <w:t xml:space="preserve"> destacó por presentar los menores valores de AIC y BIC dentro del grupo de modelos mejor rankeados, y mostró un desempeño consistente en los indicadores de error RMSE y MAE. Aunque algunas configuraciones alternativas presentaron valores cercanos de AIC o BIC, </w:t>
      </w:r>
      <w:r w:rsidRPr="45CAAEDF" w:rsidR="45CAAEDF">
        <w:rPr>
          <w:rFonts w:ascii="Arial" w:hAnsi="Arial" w:eastAsia="Arial" w:cs="Arial"/>
          <w:b w:val="0"/>
          <w:bCs w:val="0"/>
          <w:noProof w:val="0"/>
          <w:sz w:val="24"/>
          <w:szCs w:val="24"/>
          <w:lang w:val="es-CL"/>
        </w:rPr>
        <w:t>ARIMA(</w:t>
      </w:r>
      <w:r w:rsidRPr="45CAAEDF" w:rsidR="45CAAEDF">
        <w:rPr>
          <w:rFonts w:ascii="Arial" w:hAnsi="Arial" w:eastAsia="Arial" w:cs="Arial"/>
          <w:b w:val="0"/>
          <w:bCs w:val="0"/>
          <w:noProof w:val="0"/>
          <w:sz w:val="24"/>
          <w:szCs w:val="24"/>
          <w:lang w:val="es-CL"/>
        </w:rPr>
        <w:t>3,2,5) fue el que obtuvo los errores de predicción (RMSE y MAE) más bajos dentro de ese grupo</w:t>
      </w:r>
      <w:r w:rsidRPr="45CAAEDF" w:rsidR="45CAAEDF">
        <w:rPr>
          <w:rFonts w:ascii="Arial" w:hAnsi="Arial" w:eastAsia="Arial" w:cs="Arial"/>
          <w:b w:val="0"/>
          <w:bCs w:val="0"/>
          <w:noProof w:val="0"/>
          <w:sz w:val="24"/>
          <w:szCs w:val="24"/>
          <w:lang w:val="es-CL"/>
        </w:rPr>
        <w:t>, lo que evidencia un ajuste más eficiente a la estructura temporal de la serie de precios del oro. Esta selección fue el resultado de comparar veinte combinaciones diferentes de parámetros, lo que asegura un análisis robusto y una mayor confianza en el equilibrio entre calidad de ajuste y precisión de pronóstico.</w:t>
      </w:r>
    </w:p>
    <w:p w:rsidR="45CAAEDF" w:rsidP="45CAAEDF" w:rsidRDefault="45CAAEDF" w14:paraId="4D2A7DE4" w14:textId="38FC1423">
      <w:pPr>
        <w:spacing w:before="240" w:beforeAutospacing="off" w:after="240" w:afterAutospacing="off"/>
        <w:jc w:val="both"/>
      </w:pPr>
      <w:r w:rsidRPr="45CAAEDF" w:rsidR="45CAAEDF">
        <w:rPr>
          <w:rFonts w:ascii="Arial" w:hAnsi="Arial" w:eastAsia="Arial" w:cs="Arial"/>
          <w:noProof w:val="0"/>
          <w:sz w:val="24"/>
          <w:szCs w:val="24"/>
          <w:lang w:val="es-CL"/>
        </w:rPr>
        <w:t xml:space="preserve">Dado que el modelo </w:t>
      </w:r>
      <w:r w:rsidRPr="45CAAEDF" w:rsidR="45CAAEDF">
        <w:rPr>
          <w:rFonts w:ascii="Arial" w:hAnsi="Arial" w:eastAsia="Arial" w:cs="Arial"/>
          <w:noProof w:val="0"/>
          <w:sz w:val="24"/>
          <w:szCs w:val="24"/>
          <w:lang w:val="es-CL"/>
        </w:rPr>
        <w:t>ARIMA(</w:t>
      </w:r>
      <w:r w:rsidRPr="45CAAEDF" w:rsidR="45CAAEDF">
        <w:rPr>
          <w:rFonts w:ascii="Arial" w:hAnsi="Arial" w:eastAsia="Arial" w:cs="Arial"/>
          <w:noProof w:val="0"/>
          <w:sz w:val="24"/>
          <w:szCs w:val="24"/>
          <w:lang w:val="es-CL"/>
        </w:rPr>
        <w:t>3,2,5) fue el que presentó el mejor desempeño general según los criterios de AIC, BIC, RMSE y MAE, se realizó el análisis detallado de sus resultados. El resumen estadístico muestra que la mayoría de los coeficientes estimados son estadísticamente significativos (valor-p &lt; 0.05), particularmente AR2, AR3, MA1, MA3 y MA4, lo que indica que estos términos aportan información relevante para explicar la dinámica del precio del oro en la serie diferenciada. Sin embargo, algunos coeficientes (AR1, MA2, MA5) no resultaron significativos, aunque se mantienen en el modelo por su contribución al ajuste global.</w:t>
      </w:r>
    </w:p>
    <w:p w:rsidR="45CAAEDF" w:rsidP="45CAAEDF" w:rsidRDefault="45CAAEDF" w14:paraId="45F7A426" w14:textId="370BC26C">
      <w:pPr>
        <w:spacing w:before="240" w:beforeAutospacing="off" w:after="240" w:afterAutospacing="off"/>
        <w:jc w:val="center"/>
      </w:pPr>
      <w:r>
        <w:drawing>
          <wp:inline wp14:editId="513307C4" wp14:anchorId="6C8F12CE">
            <wp:extent cx="5638798" cy="5943600"/>
            <wp:effectExtent l="0" t="0" r="0" b="0"/>
            <wp:docPr id="21098325" name="" title=""/>
            <wp:cNvGraphicFramePr>
              <a:graphicFrameLocks noChangeAspect="1"/>
            </wp:cNvGraphicFramePr>
            <a:graphic>
              <a:graphicData uri="http://schemas.openxmlformats.org/drawingml/2006/picture">
                <pic:pic>
                  <pic:nvPicPr>
                    <pic:cNvPr id="0" name=""/>
                    <pic:cNvPicPr/>
                  </pic:nvPicPr>
                  <pic:blipFill>
                    <a:blip r:embed="Ra3f7a089b2ff4a23">
                      <a:extLst>
                        <a:ext xmlns:a="http://schemas.openxmlformats.org/drawingml/2006/main" uri="{28A0092B-C50C-407E-A947-70E740481C1C}">
                          <a14:useLocalDpi val="0"/>
                        </a:ext>
                      </a:extLst>
                    </a:blip>
                    <a:stretch>
                      <a:fillRect/>
                    </a:stretch>
                  </pic:blipFill>
                  <pic:spPr>
                    <a:xfrm>
                      <a:off x="0" y="0"/>
                      <a:ext cx="5638798" cy="5943600"/>
                    </a:xfrm>
                    <a:prstGeom prst="rect">
                      <a:avLst/>
                    </a:prstGeom>
                  </pic:spPr>
                </pic:pic>
              </a:graphicData>
            </a:graphic>
          </wp:inline>
        </w:drawing>
      </w:r>
    </w:p>
    <w:p w:rsidR="45CAAEDF" w:rsidP="45CAAEDF" w:rsidRDefault="45CAAEDF" w14:paraId="4B90C7FF" w14:textId="7EF56C8A">
      <w:pPr>
        <w:spacing w:before="240" w:beforeAutospacing="off" w:after="240" w:afterAutospacing="off"/>
        <w:jc w:val="both"/>
      </w:pPr>
      <w:r w:rsidRPr="45CAAEDF" w:rsidR="45CAAEDF">
        <w:rPr>
          <w:rFonts w:ascii="Arial" w:hAnsi="Arial" w:eastAsia="Arial" w:cs="Arial"/>
          <w:noProof w:val="0"/>
          <w:sz w:val="24"/>
          <w:szCs w:val="24"/>
          <w:lang w:val="es-CL"/>
        </w:rPr>
        <w:t>En cuanto a los residuos, aunque el test de Jarque-Bera señala desviaciones importantes respecto a la normalidad (p=0.00), algo habitual en series financieras, y se detecta cierta heterocedasticidad (H=5.32), el análisis de autocorrelación de residuos mediante la prueba de Ljung-Box arroja una probabilidad muy alta (p=0.96), indicando ausencia de autocorrelación significativa. Esta ausencia de autocorrelación refuerza la confianza en las proyecciones, ya que sugiere que el modelo logra captar adecuadamente la dependencia temporal de la serie.</w:t>
      </w:r>
    </w:p>
    <w:p w:rsidR="45CAAEDF" w:rsidP="45CAAEDF" w:rsidRDefault="45CAAEDF" w14:paraId="0CAB29C9" w14:textId="36CAC962">
      <w:pPr>
        <w:spacing w:before="240" w:beforeAutospacing="off" w:after="240" w:afterAutospacing="off"/>
        <w:jc w:val="both"/>
      </w:pPr>
      <w:r w:rsidRPr="45CAAEDF" w:rsidR="45CAAEDF">
        <w:rPr>
          <w:rFonts w:ascii="Arial" w:hAnsi="Arial" w:eastAsia="Arial" w:cs="Arial"/>
          <w:noProof w:val="0"/>
          <w:sz w:val="24"/>
          <w:szCs w:val="24"/>
          <w:lang w:val="es-CL"/>
        </w:rPr>
        <w:t>Adicionalmente, el valor del AIC (3176.18) confirma que, dentro del conjunto de modelos evaluados, esta especificación logra el mejor equilibrio entre calidad de ajuste y complejidad, evitando tanto el sobreajuste como un modelo demasiado simple. No obstante, se debe considerar que la presencia de heterocedasticidad y la curtosis observada en los residuos son características habituales en datos financieros y pueden influir en la precisión de los intervalos de confianza del pronóstico.</w:t>
      </w:r>
    </w:p>
    <w:p w:rsidR="45CAAEDF" w:rsidP="45CAAEDF" w:rsidRDefault="45CAAEDF" w14:paraId="36F00F3C" w14:textId="00E1A691">
      <w:pPr>
        <w:spacing w:before="240" w:beforeAutospacing="off" w:after="240" w:afterAutospacing="off"/>
        <w:jc w:val="both"/>
      </w:pPr>
      <w:r w:rsidRPr="45CAAEDF" w:rsidR="45CAAEDF">
        <w:rPr>
          <w:rFonts w:ascii="Arial" w:hAnsi="Arial" w:eastAsia="Arial" w:cs="Arial"/>
          <w:noProof w:val="0"/>
          <w:sz w:val="24"/>
          <w:szCs w:val="24"/>
          <w:lang w:val="es-CL"/>
        </w:rPr>
        <w:t>En conjunto, estos resultados validan el uso del modelo ARIMA(3,2,5) para realizar proyecciones a 12 meses, aunque es importante reconocer las limitaciones propias del contexto financiero y considerar estos aspectos al interpretar las predicciones y la incertidumbre asociada.</w:t>
      </w:r>
    </w:p>
    <w:p w:rsidR="45CAAEDF" w:rsidP="45CAAEDF" w:rsidRDefault="45CAAEDF" w14:paraId="59B74709" w14:textId="06841EBB">
      <w:pPr>
        <w:pStyle w:val="Normal"/>
        <w:spacing w:before="0" w:beforeAutospacing="off" w:after="160" w:afterAutospacing="off" w:line="257" w:lineRule="auto"/>
        <w:jc w:val="both"/>
        <w:rPr>
          <w:rFonts w:ascii="Arial" w:hAnsi="Arial" w:eastAsia="Arial" w:cs="Arial"/>
          <w:noProof w:val="0"/>
          <w:sz w:val="24"/>
          <w:szCs w:val="24"/>
          <w:lang w:val="es-CL"/>
        </w:rPr>
      </w:pPr>
    </w:p>
    <w:p w:rsidR="316E45A4" w:rsidP="45CAAEDF" w:rsidRDefault="316E45A4" w14:paraId="535F609B" w14:textId="3FBB1D00">
      <w:pPr>
        <w:pStyle w:val="Heading3"/>
        <w:spacing w:before="281" w:beforeAutospacing="off" w:after="281" w:afterAutospacing="off" w:line="240" w:lineRule="auto"/>
        <w:jc w:val="both"/>
        <w:rPr>
          <w:rFonts w:ascii="Arial" w:hAnsi="Arial" w:eastAsia="Arial" w:cs="Arial"/>
          <w:b w:val="1"/>
          <w:bCs w:val="1"/>
          <w:color w:val="auto"/>
          <w:sz w:val="24"/>
          <w:szCs w:val="24"/>
        </w:rPr>
      </w:pPr>
      <w:bookmarkStart w:name="_Toc769202935" w:id="1267777031"/>
      <w:bookmarkStart w:name="_Toc390578191" w:id="1118337775"/>
      <w:r w:rsidRPr="45CAAEDF" w:rsidR="45CAAEDF">
        <w:rPr>
          <w:rFonts w:ascii="Arial" w:hAnsi="Arial" w:eastAsia="Arial" w:cs="Arial"/>
          <w:b w:val="1"/>
          <w:bCs w:val="1"/>
          <w:color w:val="auto"/>
          <w:sz w:val="24"/>
          <w:szCs w:val="24"/>
        </w:rPr>
        <w:t>c. Predicción y visualización</w:t>
      </w:r>
      <w:bookmarkEnd w:id="1267777031"/>
      <w:bookmarkEnd w:id="1118337775"/>
    </w:p>
    <w:p w:rsidR="45CAAEDF" w:rsidP="45CAAEDF" w:rsidRDefault="45CAAEDF" w14:paraId="73AE3275" w14:textId="1D9075FD">
      <w:pPr>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El modelo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2,1) fue utilizado para generar una proyección a 12 meses, con intervalos de confianza del 95% calculados a partir de la varianza de los retornos acumulados.</w:t>
      </w:r>
    </w:p>
    <w:p w:rsidR="45CAAEDF" w:rsidP="45CAAEDF" w:rsidRDefault="45CAAEDF" w14:paraId="7D0FEED7" w14:textId="10615501">
      <w:pPr>
        <w:spacing w:before="240" w:beforeAutospacing="off" w:after="240" w:afterAutospacing="off" w:line="240" w:lineRule="auto"/>
        <w:jc w:val="center"/>
        <w:rPr>
          <w:rFonts w:ascii="Arial" w:hAnsi="Arial" w:eastAsia="Arial" w:cs="Arial"/>
          <w:color w:val="auto"/>
          <w:sz w:val="24"/>
          <w:szCs w:val="24"/>
        </w:rPr>
      </w:pPr>
      <w:r>
        <w:drawing>
          <wp:inline wp14:editId="1F86C766" wp14:anchorId="5BB44CE6">
            <wp:extent cx="5071947" cy="2088927"/>
            <wp:effectExtent l="0" t="0" r="0" b="0"/>
            <wp:docPr id="2128395488" name="" title=""/>
            <wp:cNvGraphicFramePr>
              <a:graphicFrameLocks noChangeAspect="1"/>
            </wp:cNvGraphicFramePr>
            <a:graphic>
              <a:graphicData uri="http://schemas.openxmlformats.org/drawingml/2006/picture">
                <pic:pic>
                  <pic:nvPicPr>
                    <pic:cNvPr id="0" name=""/>
                    <pic:cNvPicPr/>
                  </pic:nvPicPr>
                  <pic:blipFill>
                    <a:blip r:embed="R66d2eb44b76c4e41">
                      <a:extLst>
                        <a:ext xmlns:a="http://schemas.openxmlformats.org/drawingml/2006/main" uri="{28A0092B-C50C-407E-A947-70E740481C1C}">
                          <a14:useLocalDpi val="0"/>
                        </a:ext>
                      </a:extLst>
                    </a:blip>
                    <a:stretch>
                      <a:fillRect/>
                    </a:stretch>
                  </pic:blipFill>
                  <pic:spPr>
                    <a:xfrm>
                      <a:off x="0" y="0"/>
                      <a:ext cx="5071947" cy="2088927"/>
                    </a:xfrm>
                    <a:prstGeom prst="rect">
                      <a:avLst/>
                    </a:prstGeom>
                  </pic:spPr>
                </pic:pic>
              </a:graphicData>
            </a:graphic>
          </wp:inline>
        </w:drawing>
      </w:r>
    </w:p>
    <w:p w:rsidR="45CAAEDF" w:rsidP="45CAAEDF" w:rsidRDefault="45CAAEDF" w14:paraId="5BB50482" w14:textId="66FBE734">
      <w:pPr>
        <w:spacing w:before="240" w:beforeAutospacing="off" w:after="240" w:afterAutospacing="off" w:line="240" w:lineRule="auto"/>
        <w:jc w:val="center"/>
        <w:rPr>
          <w:rFonts w:ascii="Arial" w:hAnsi="Arial" w:eastAsia="Arial" w:cs="Arial"/>
          <w:color w:val="auto"/>
          <w:sz w:val="24"/>
          <w:szCs w:val="24"/>
        </w:rPr>
      </w:pPr>
      <w:r>
        <w:drawing>
          <wp:inline wp14:editId="425030D9" wp14:anchorId="6E6D665E">
            <wp:extent cx="3230431" cy="1861174"/>
            <wp:effectExtent l="0" t="0" r="0" b="0"/>
            <wp:docPr id="1316313135" name="" title=""/>
            <wp:cNvGraphicFramePr>
              <a:graphicFrameLocks noChangeAspect="1"/>
            </wp:cNvGraphicFramePr>
            <a:graphic>
              <a:graphicData uri="http://schemas.openxmlformats.org/drawingml/2006/picture">
                <pic:pic>
                  <pic:nvPicPr>
                    <pic:cNvPr id="0" name=""/>
                    <pic:cNvPicPr/>
                  </pic:nvPicPr>
                  <pic:blipFill>
                    <a:blip r:embed="R2db87b3288bc4e17">
                      <a:extLst>
                        <a:ext xmlns:a="http://schemas.openxmlformats.org/drawingml/2006/main" uri="{28A0092B-C50C-407E-A947-70E740481C1C}">
                          <a14:useLocalDpi val="0"/>
                        </a:ext>
                      </a:extLst>
                    </a:blip>
                    <a:stretch>
                      <a:fillRect/>
                    </a:stretch>
                  </pic:blipFill>
                  <pic:spPr>
                    <a:xfrm>
                      <a:off x="0" y="0"/>
                      <a:ext cx="3230431" cy="1861174"/>
                    </a:xfrm>
                    <a:prstGeom prst="rect">
                      <a:avLst/>
                    </a:prstGeom>
                  </pic:spPr>
                </pic:pic>
              </a:graphicData>
            </a:graphic>
          </wp:inline>
        </w:drawing>
      </w:r>
    </w:p>
    <w:p w:rsidR="45CAAEDF" w:rsidP="45CAAEDF" w:rsidRDefault="45CAAEDF" w14:paraId="77DD2717" w14:textId="35ADCF5E">
      <w:pPr>
        <w:pStyle w:val="Normal"/>
        <w:suppressLineNumbers w:val="0"/>
        <w:bidi w:val="0"/>
        <w:spacing w:before="240" w:beforeAutospacing="off" w:after="240" w:afterAutospacing="off" w:line="240" w:lineRule="auto"/>
        <w:ind w:left="0" w:right="0"/>
        <w:jc w:val="both"/>
        <w:rPr>
          <w:rFonts w:ascii="Arial" w:hAnsi="Arial" w:eastAsia="Arial" w:cs="Arial"/>
          <w:b w:val="1"/>
          <w:bCs w:val="1"/>
          <w:color w:val="auto"/>
          <w:sz w:val="24"/>
          <w:szCs w:val="24"/>
        </w:rPr>
      </w:pPr>
      <w:r w:rsidRPr="45CAAEDF" w:rsidR="45CAAEDF">
        <w:rPr>
          <w:rFonts w:ascii="Arial" w:hAnsi="Arial" w:eastAsia="Arial" w:cs="Arial"/>
          <w:b w:val="1"/>
          <w:bCs w:val="1"/>
          <w:color w:val="auto"/>
          <w:sz w:val="24"/>
          <w:szCs w:val="24"/>
        </w:rPr>
        <w:t>Interpretación Proyección a 12 meses con intervalos de confianza</w:t>
      </w:r>
    </w:p>
    <w:p w:rsidR="45CAAEDF" w:rsidP="45CAAEDF" w:rsidRDefault="45CAAEDF" w14:paraId="372243E7" w14:textId="2EBEDAFC">
      <w:pPr>
        <w:pStyle w:val="ListParagraph"/>
        <w:numPr>
          <w:ilvl w:val="0"/>
          <w:numId w:val="11"/>
        </w:numPr>
        <w:spacing w:before="240" w:beforeAutospacing="off" w:after="240" w:afterAutospacing="off" w:line="240" w:lineRule="auto"/>
        <w:jc w:val="both"/>
        <w:rPr>
          <w:rFonts w:ascii="Arial" w:hAnsi="Arial" w:eastAsia="Arial" w:cs="Arial"/>
          <w:b w:val="0"/>
          <w:bCs w:val="0"/>
          <w:color w:val="auto"/>
          <w:sz w:val="24"/>
          <w:szCs w:val="24"/>
        </w:rPr>
      </w:pPr>
      <w:r w:rsidRPr="45CAAEDF" w:rsidR="45CAAEDF">
        <w:rPr>
          <w:rFonts w:ascii="Arial" w:hAnsi="Arial" w:eastAsia="Arial" w:cs="Arial"/>
          <w:b w:val="0"/>
          <w:bCs w:val="0"/>
          <w:color w:val="auto"/>
          <w:sz w:val="24"/>
          <w:szCs w:val="24"/>
        </w:rPr>
        <w:t xml:space="preserve">Proyección puntual: </w:t>
      </w:r>
      <w:r w:rsidRPr="45CAAEDF" w:rsidR="45CAAEDF">
        <w:rPr>
          <w:rFonts w:ascii="Arial" w:hAnsi="Arial" w:eastAsia="Arial" w:cs="Arial"/>
          <w:b w:val="0"/>
          <w:bCs w:val="0"/>
          <w:color w:val="auto"/>
          <w:sz w:val="24"/>
          <w:szCs w:val="24"/>
        </w:rPr>
        <w:t>La línea verde representa la predicción puntual del precio del oro para los próximos 12 meses. El modelo proyecta un crecimiento moderado, sin anticipar un cambio de tendencia brusco.</w:t>
      </w:r>
    </w:p>
    <w:p w:rsidR="45CAAEDF" w:rsidP="45CAAEDF" w:rsidRDefault="45CAAEDF" w14:paraId="7770CEFA" w14:textId="16405789">
      <w:pPr>
        <w:pStyle w:val="ListParagraph"/>
        <w:spacing w:before="240" w:beforeAutospacing="off" w:after="240" w:afterAutospacing="off" w:line="240" w:lineRule="auto"/>
        <w:ind w:left="720"/>
        <w:jc w:val="both"/>
        <w:rPr>
          <w:rFonts w:ascii="Arial" w:hAnsi="Arial" w:eastAsia="Arial" w:cs="Arial"/>
          <w:b w:val="0"/>
          <w:bCs w:val="0"/>
          <w:color w:val="auto"/>
          <w:sz w:val="24"/>
          <w:szCs w:val="24"/>
        </w:rPr>
      </w:pPr>
    </w:p>
    <w:p w:rsidR="45CAAEDF" w:rsidP="45CAAEDF" w:rsidRDefault="45CAAEDF" w14:paraId="0E074B65" w14:textId="3DFA5541">
      <w:pPr>
        <w:pStyle w:val="ListParagraph"/>
        <w:numPr>
          <w:ilvl w:val="0"/>
          <w:numId w:val="11"/>
        </w:numPr>
        <w:spacing w:before="240" w:beforeAutospacing="off" w:after="240" w:afterAutospacing="off" w:line="240" w:lineRule="auto"/>
        <w:jc w:val="both"/>
        <w:rPr>
          <w:rFonts w:ascii="Arial" w:hAnsi="Arial" w:eastAsia="Arial" w:cs="Arial"/>
          <w:b w:val="0"/>
          <w:bCs w:val="0"/>
          <w:color w:val="auto"/>
          <w:sz w:val="24"/>
          <w:szCs w:val="24"/>
        </w:rPr>
      </w:pPr>
      <w:r w:rsidRPr="45CAAEDF" w:rsidR="45CAAEDF">
        <w:rPr>
          <w:rFonts w:ascii="Arial" w:hAnsi="Arial" w:eastAsia="Arial" w:cs="Arial"/>
          <w:b w:val="0"/>
          <w:bCs w:val="0"/>
          <w:color w:val="auto"/>
          <w:sz w:val="24"/>
          <w:szCs w:val="24"/>
        </w:rPr>
        <w:t>Intervalos de confianza:</w:t>
      </w:r>
      <w:r w:rsidRPr="45CAAEDF" w:rsidR="45CAAEDF">
        <w:rPr>
          <w:rFonts w:ascii="Arial" w:hAnsi="Arial" w:eastAsia="Arial" w:cs="Arial"/>
          <w:b w:val="0"/>
          <w:bCs w:val="0"/>
          <w:color w:val="auto"/>
          <w:sz w:val="24"/>
          <w:szCs w:val="24"/>
        </w:rPr>
        <w:t xml:space="preserve"> El área sombreada en verde claro representa el intervalo de confianza al 95%, que se ensancha de forma significativa a medida que avanza el horizonte temporal. Esto es característico en modelos ARMA, ya que la incertidumbre se acumula con el paso del tiempo.</w:t>
      </w:r>
    </w:p>
    <w:p w:rsidR="45CAAEDF" w:rsidP="45CAAEDF" w:rsidRDefault="45CAAEDF" w14:paraId="170BD1A7" w14:textId="3C44706F">
      <w:pPr>
        <w:pStyle w:val="ListParagraph"/>
        <w:spacing w:before="240" w:beforeAutospacing="off" w:after="240" w:afterAutospacing="off" w:line="240" w:lineRule="auto"/>
        <w:ind w:left="720"/>
        <w:jc w:val="both"/>
        <w:rPr>
          <w:rFonts w:ascii="Arial" w:hAnsi="Arial" w:eastAsia="Arial" w:cs="Arial"/>
          <w:b w:val="0"/>
          <w:bCs w:val="0"/>
          <w:color w:val="auto"/>
          <w:sz w:val="24"/>
          <w:szCs w:val="24"/>
        </w:rPr>
      </w:pPr>
    </w:p>
    <w:p w:rsidR="45CAAEDF" w:rsidP="45CAAEDF" w:rsidRDefault="45CAAEDF" w14:paraId="08AF694A" w14:textId="5539B45E">
      <w:pPr>
        <w:pStyle w:val="ListParagraph"/>
        <w:numPr>
          <w:ilvl w:val="0"/>
          <w:numId w:val="11"/>
        </w:numPr>
        <w:spacing w:before="240" w:beforeAutospacing="off" w:after="240" w:afterAutospacing="off" w:line="240" w:lineRule="auto"/>
        <w:jc w:val="both"/>
        <w:rPr>
          <w:rFonts w:ascii="Arial" w:hAnsi="Arial" w:eastAsia="Arial" w:cs="Arial"/>
          <w:b w:val="0"/>
          <w:bCs w:val="0"/>
          <w:color w:val="auto"/>
          <w:sz w:val="24"/>
          <w:szCs w:val="24"/>
        </w:rPr>
      </w:pPr>
      <w:r w:rsidRPr="45CAAEDF" w:rsidR="45CAAEDF">
        <w:rPr>
          <w:rFonts w:ascii="Arial" w:hAnsi="Arial" w:eastAsia="Arial" w:cs="Arial"/>
          <w:b w:val="0"/>
          <w:bCs w:val="0"/>
          <w:color w:val="auto"/>
          <w:sz w:val="24"/>
          <w:szCs w:val="24"/>
        </w:rPr>
        <w:t xml:space="preserve">Interpretación práctica: </w:t>
      </w:r>
      <w:r w:rsidRPr="45CAAEDF" w:rsidR="45CAAEDF">
        <w:rPr>
          <w:rFonts w:ascii="Arial" w:hAnsi="Arial" w:eastAsia="Arial" w:cs="Arial"/>
          <w:b w:val="0"/>
          <w:bCs w:val="0"/>
          <w:color w:val="auto"/>
          <w:sz w:val="24"/>
          <w:szCs w:val="24"/>
        </w:rPr>
        <w:t>Aunque la proyección central parece plausible, la amplitud de los intervalos sugiere alta incertidumbre en el pronóstico. El rango de valores proyectados va desde niveles ligeramente inferiores al valor actual hasta valores que duplican o triplican el precio.</w:t>
      </w:r>
    </w:p>
    <w:p w:rsidR="45CAAEDF" w:rsidP="45CAAEDF" w:rsidRDefault="45CAAEDF" w14:paraId="422542B5" w14:textId="7A5CE1AE">
      <w:pPr>
        <w:pStyle w:val="ListParagraph"/>
        <w:spacing w:before="240" w:beforeAutospacing="off" w:after="240" w:afterAutospacing="off" w:line="240" w:lineRule="auto"/>
        <w:ind w:left="720"/>
        <w:jc w:val="both"/>
        <w:rPr>
          <w:rFonts w:ascii="Arial" w:hAnsi="Arial" w:eastAsia="Arial" w:cs="Arial"/>
          <w:b w:val="0"/>
          <w:bCs w:val="0"/>
          <w:color w:val="auto"/>
          <w:sz w:val="24"/>
          <w:szCs w:val="24"/>
        </w:rPr>
      </w:pPr>
    </w:p>
    <w:p w:rsidR="45CAAEDF" w:rsidP="45CAAEDF" w:rsidRDefault="45CAAEDF" w14:paraId="4CCAA957" w14:textId="2A61CB95">
      <w:pPr>
        <w:pStyle w:val="ListParagraph"/>
        <w:numPr>
          <w:ilvl w:val="0"/>
          <w:numId w:val="11"/>
        </w:numPr>
        <w:spacing w:before="240" w:beforeAutospacing="off" w:after="240" w:afterAutospacing="off" w:line="240" w:lineRule="auto"/>
        <w:jc w:val="both"/>
        <w:rPr>
          <w:rFonts w:ascii="Arial" w:hAnsi="Arial" w:eastAsia="Arial" w:cs="Arial"/>
          <w:b w:val="0"/>
          <w:bCs w:val="0"/>
          <w:color w:val="auto"/>
          <w:sz w:val="24"/>
          <w:szCs w:val="24"/>
        </w:rPr>
      </w:pPr>
      <w:r w:rsidRPr="45CAAEDF" w:rsidR="45CAAEDF">
        <w:rPr>
          <w:rFonts w:ascii="Arial" w:hAnsi="Arial" w:eastAsia="Arial" w:cs="Arial"/>
          <w:b w:val="0"/>
          <w:bCs w:val="0"/>
          <w:color w:val="auto"/>
          <w:sz w:val="24"/>
          <w:szCs w:val="24"/>
        </w:rPr>
        <w:t xml:space="preserve">Conclusión: </w:t>
      </w:r>
      <w:r w:rsidRPr="45CAAEDF" w:rsidR="45CAAEDF">
        <w:rPr>
          <w:rFonts w:ascii="Arial" w:hAnsi="Arial" w:eastAsia="Arial" w:cs="Arial"/>
          <w:b w:val="0"/>
          <w:bCs w:val="0"/>
          <w:color w:val="auto"/>
          <w:sz w:val="24"/>
          <w:szCs w:val="24"/>
        </w:rPr>
        <w:t>El modelo proporciona una visión razonable en el corto plazo (3–4 meses), pero su utilidad decrece más allá de ese horizonte. Para predicciones más robustas, podrían considerarse modelos más complejos o incorporar técnicas como SARIMA o modelos basados en redes neuronales recurrentes.</w:t>
      </w:r>
    </w:p>
    <w:p w:rsidR="45CAAEDF" w:rsidP="45CAAEDF" w:rsidRDefault="45CAAEDF" w14:paraId="3760DAA9" w14:textId="3DB86D94">
      <w:pPr>
        <w:spacing w:before="240" w:beforeAutospacing="off" w:after="240" w:afterAutospacing="off" w:line="240" w:lineRule="auto"/>
        <w:jc w:val="both"/>
        <w:rPr>
          <w:rFonts w:ascii="Arial" w:hAnsi="Arial" w:eastAsia="Arial" w:cs="Arial"/>
          <w:color w:val="auto"/>
          <w:sz w:val="24"/>
          <w:szCs w:val="24"/>
        </w:rPr>
      </w:pPr>
      <w:r w:rsidRPr="45CAAEDF" w:rsidR="45CAAEDF">
        <w:rPr>
          <w:rFonts w:ascii="Arial" w:hAnsi="Arial" w:eastAsia="Arial" w:cs="Arial"/>
          <w:color w:val="auto"/>
          <w:sz w:val="24"/>
          <w:szCs w:val="24"/>
        </w:rPr>
        <w:t>Los resultados muestran que ambos modelos capturan la tendencia creciente del oro, pero con diferentes niveles de suavidad y certeza.</w:t>
      </w:r>
    </w:p>
    <w:p w:rsidR="45CAAEDF" w:rsidP="45CAAEDF" w:rsidRDefault="45CAAEDF" w14:paraId="4DF1DC27" w14:textId="6CB8E25E">
      <w:pPr>
        <w:spacing w:before="240" w:beforeAutospacing="off" w:after="240" w:afterAutospacing="off" w:line="240" w:lineRule="auto"/>
        <w:jc w:val="both"/>
        <w:rPr>
          <w:rFonts w:ascii="Arial" w:hAnsi="Arial" w:eastAsia="Arial" w:cs="Arial"/>
          <w:color w:val="auto"/>
          <w:sz w:val="24"/>
          <w:szCs w:val="24"/>
        </w:rPr>
      </w:pPr>
    </w:p>
    <w:p w:rsidR="45CAAEDF" w:rsidP="45CAAEDF" w:rsidRDefault="45CAAEDF" w14:paraId="0FA7EED5" w14:textId="53AFD623">
      <w:pPr>
        <w:spacing w:before="240" w:beforeAutospacing="off" w:after="240" w:afterAutospacing="off" w:line="240" w:lineRule="auto"/>
        <w:jc w:val="both"/>
        <w:rPr>
          <w:rFonts w:ascii="Arial" w:hAnsi="Arial" w:eastAsia="Arial" w:cs="Arial"/>
          <w:b w:val="1"/>
          <w:bCs w:val="1"/>
          <w:color w:val="auto"/>
          <w:sz w:val="24"/>
          <w:szCs w:val="24"/>
        </w:rPr>
      </w:pPr>
    </w:p>
    <w:p w:rsidR="45CAAEDF" w:rsidP="45CAAEDF" w:rsidRDefault="45CAAEDF" w14:paraId="6F3EA118" w14:textId="49F0C567">
      <w:pPr>
        <w:spacing w:before="240" w:beforeAutospacing="off" w:after="240" w:afterAutospacing="off" w:line="240" w:lineRule="auto"/>
        <w:jc w:val="both"/>
        <w:rPr>
          <w:rFonts w:ascii="Arial" w:hAnsi="Arial" w:eastAsia="Arial" w:cs="Arial"/>
          <w:b w:val="1"/>
          <w:bCs w:val="1"/>
          <w:color w:val="auto"/>
          <w:sz w:val="24"/>
          <w:szCs w:val="24"/>
        </w:rPr>
      </w:pPr>
      <w:r w:rsidRPr="45CAAEDF" w:rsidR="45CAAEDF">
        <w:rPr>
          <w:rFonts w:ascii="Arial" w:hAnsi="Arial" w:eastAsia="Arial" w:cs="Arial"/>
          <w:b w:val="1"/>
          <w:bCs w:val="1"/>
          <w:color w:val="auto"/>
          <w:sz w:val="24"/>
          <w:szCs w:val="24"/>
        </w:rPr>
        <w:t xml:space="preserve">Modelo ARIMA: </w:t>
      </w:r>
    </w:p>
    <w:p w:rsidR="45CAAEDF" w:rsidP="45CAAEDF" w:rsidRDefault="45CAAEDF" w14:paraId="6B4A1BA4" w14:textId="0CC59DC6">
      <w:pPr>
        <w:bidi w:val="0"/>
        <w:spacing w:before="0" w:beforeAutospacing="off" w:after="160" w:afterAutospacing="off" w:line="257" w:lineRule="auto"/>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 xml:space="preserve">Una vez validado el ajuste del modelo, se generó el pronóstico para los próximos 12 meses, presentando los resultados tanto en formato tabular como gráfico para facilitar su interpretación. Los valores proyectados mantienen la tendencia creciente registrada en los últimos años. </w:t>
      </w:r>
      <w:r w:rsidRPr="45CAAEDF" w:rsidR="45CAAEDF">
        <w:rPr>
          <w:rFonts w:ascii="Arial" w:hAnsi="Arial" w:eastAsia="Arial" w:cs="Arial"/>
          <w:noProof w:val="0"/>
          <w:sz w:val="24"/>
          <w:szCs w:val="24"/>
          <w:lang w:val="es-CL"/>
        </w:rPr>
        <w:t>Los intervalos de confianza al 95% permiten dimensionar el rango dentro del cual podría fluctuar el precio, con una mayor amplitud hacia el final del periodo.</w:t>
      </w:r>
    </w:p>
    <w:p w:rsidR="45CAAEDF" w:rsidP="45CAAEDF" w:rsidRDefault="45CAAEDF" w14:paraId="306DACA9" w14:textId="64F168E6">
      <w:pPr>
        <w:bidi w:val="0"/>
        <w:spacing w:before="0" w:beforeAutospacing="off" w:after="160" w:afterAutospacing="off"/>
        <w:jc w:val="center"/>
      </w:pPr>
      <w:r>
        <w:drawing>
          <wp:inline wp14:editId="6BDE2387" wp14:anchorId="0B99FD76">
            <wp:extent cx="4026493" cy="3647316"/>
            <wp:effectExtent l="0" t="0" r="0" b="0"/>
            <wp:docPr id="1299768226" name="" title=""/>
            <wp:cNvGraphicFramePr>
              <a:graphicFrameLocks noChangeAspect="1"/>
            </wp:cNvGraphicFramePr>
            <a:graphic>
              <a:graphicData uri="http://schemas.openxmlformats.org/drawingml/2006/picture">
                <pic:pic>
                  <pic:nvPicPr>
                    <pic:cNvPr id="0" name=""/>
                    <pic:cNvPicPr/>
                  </pic:nvPicPr>
                  <pic:blipFill>
                    <a:blip r:embed="Rb8eb251cbb454321">
                      <a:extLst>
                        <a:ext xmlns:a="http://schemas.openxmlformats.org/drawingml/2006/main" uri="{28A0092B-C50C-407E-A947-70E740481C1C}">
                          <a14:useLocalDpi val="0"/>
                        </a:ext>
                      </a:extLst>
                    </a:blip>
                    <a:stretch>
                      <a:fillRect/>
                    </a:stretch>
                  </pic:blipFill>
                  <pic:spPr>
                    <a:xfrm>
                      <a:off x="0" y="0"/>
                      <a:ext cx="4026493" cy="3647316"/>
                    </a:xfrm>
                    <a:prstGeom prst="rect">
                      <a:avLst/>
                    </a:prstGeom>
                  </pic:spPr>
                </pic:pic>
              </a:graphicData>
            </a:graphic>
          </wp:inline>
        </w:drawing>
      </w:r>
    </w:p>
    <w:p w:rsidR="45CAAEDF" w:rsidP="45CAAEDF" w:rsidRDefault="45CAAEDF" w14:paraId="7B99289B" w14:textId="27B54F34">
      <w:pPr>
        <w:bidi w:val="0"/>
        <w:spacing w:before="0" w:beforeAutospacing="off" w:after="160" w:afterAutospacing="off"/>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La figura posterior ilustra de manera clara cómo el pronóstico sigue la línea alcista reciente del oro, mostrando además la magnitud de la incertidumbre asociada a cada estimación. Este comportamiento es relevante porque, aunque el modelo incorpora la información histórica para proyectar, siempre existe un margen de variabilidad, especialmente en mercados sujetos a shocks externos.</w:t>
      </w:r>
    </w:p>
    <w:p w:rsidR="45CAAEDF" w:rsidP="45CAAEDF" w:rsidRDefault="45CAAEDF" w14:paraId="15A07BFB" w14:textId="031E2900">
      <w:pPr>
        <w:bidi w:val="0"/>
        <w:spacing w:before="0" w:beforeAutospacing="off" w:after="160" w:afterAutospacing="off"/>
        <w:jc w:val="both"/>
        <w:rPr>
          <w:rFonts w:ascii="Arial" w:hAnsi="Arial" w:eastAsia="Arial" w:cs="Arial"/>
          <w:b w:val="1"/>
          <w:bCs w:val="1"/>
          <w:i w:val="0"/>
          <w:iCs w:val="0"/>
          <w:caps w:val="0"/>
          <w:smallCaps w:val="0"/>
          <w:color w:val="auto"/>
          <w:sz w:val="24"/>
          <w:szCs w:val="24"/>
        </w:rPr>
      </w:pPr>
      <w:r w:rsidRPr="45CAAEDF" w:rsidR="45CAAEDF">
        <w:rPr>
          <w:rFonts w:ascii="Arial" w:hAnsi="Arial" w:eastAsia="Arial" w:cs="Arial"/>
          <w:noProof w:val="0"/>
          <w:sz w:val="24"/>
          <w:szCs w:val="24"/>
          <w:lang w:val="es-CL"/>
        </w:rPr>
        <w:t>Es importante resaltar que la fuerte dinámica alcista observada en el precio reciente del oro también se refleja en las proyecciones, aunque siempre se debe tener presente que eventos inesperados pueden modificar la tendencia observada. Por ello, la combinación de tabla y gráfica permite comparar fácilmente los valores estimados con el comportamiento histórico, resaltando tanto la tendencia central como la dispersión de los posibles escenarios futuros.</w:t>
      </w:r>
    </w:p>
    <w:p w:rsidR="45CAAEDF" w:rsidP="45CAAEDF" w:rsidRDefault="45CAAEDF" w14:paraId="5BB66F42" w14:textId="1E4EA4B8">
      <w:pPr>
        <w:bidi w:val="0"/>
        <w:spacing w:before="0" w:beforeAutospacing="off" w:after="160" w:afterAutospacing="off"/>
        <w:jc w:val="center"/>
      </w:pPr>
      <w:r>
        <w:drawing>
          <wp:inline wp14:editId="588A3A01" wp14:anchorId="102EE23A">
            <wp:extent cx="5943600" cy="3209925"/>
            <wp:effectExtent l="0" t="0" r="0" b="0"/>
            <wp:docPr id="376754181" name="" title=""/>
            <wp:cNvGraphicFramePr>
              <a:graphicFrameLocks noChangeAspect="1"/>
            </wp:cNvGraphicFramePr>
            <a:graphic>
              <a:graphicData uri="http://schemas.openxmlformats.org/drawingml/2006/picture">
                <pic:pic>
                  <pic:nvPicPr>
                    <pic:cNvPr id="0" name=""/>
                    <pic:cNvPicPr/>
                  </pic:nvPicPr>
                  <pic:blipFill>
                    <a:blip r:embed="Rdc1e7f671892453e">
                      <a:extLst>
                        <a:ext xmlns:a="http://schemas.openxmlformats.org/drawingml/2006/main" uri="{28A0092B-C50C-407E-A947-70E740481C1C}">
                          <a14:useLocalDpi val="0"/>
                        </a:ext>
                      </a:extLst>
                    </a:blip>
                    <a:stretch>
                      <a:fillRect/>
                    </a:stretch>
                  </pic:blipFill>
                  <pic:spPr>
                    <a:xfrm>
                      <a:off x="0" y="0"/>
                      <a:ext cx="5943600" cy="3209925"/>
                    </a:xfrm>
                    <a:prstGeom prst="rect">
                      <a:avLst/>
                    </a:prstGeom>
                  </pic:spPr>
                </pic:pic>
              </a:graphicData>
            </a:graphic>
          </wp:inline>
        </w:drawing>
      </w:r>
    </w:p>
    <w:p w:rsidR="45CAAEDF" w:rsidP="45CAAEDF" w:rsidRDefault="45CAAEDF" w14:paraId="4B3F678C" w14:textId="4B062B6F">
      <w:pPr>
        <w:pStyle w:val="Heading1"/>
        <w:bidi w:val="0"/>
        <w:rPr>
          <w:rFonts w:ascii="Arial" w:hAnsi="Arial" w:eastAsia="Arial" w:cs="Arial"/>
          <w:b w:val="1"/>
          <w:bCs w:val="1"/>
          <w:color w:val="auto"/>
          <w:sz w:val="24"/>
          <w:szCs w:val="24"/>
        </w:rPr>
      </w:pPr>
      <w:bookmarkStart w:name="_Toc1119056970" w:id="1743304413"/>
      <w:bookmarkStart w:name="_Toc648096487" w:id="1609047672"/>
      <w:r w:rsidRPr="45CAAEDF" w:rsidR="45CAAEDF">
        <w:rPr>
          <w:rFonts w:ascii="Arial" w:hAnsi="Arial" w:eastAsia="Arial" w:cs="Arial"/>
          <w:b w:val="1"/>
          <w:bCs w:val="1"/>
          <w:color w:val="auto"/>
          <w:sz w:val="24"/>
          <w:szCs w:val="24"/>
        </w:rPr>
        <w:t>Conclusión</w:t>
      </w:r>
      <w:bookmarkEnd w:id="1743304413"/>
      <w:bookmarkEnd w:id="1609047672"/>
    </w:p>
    <w:p w:rsidR="45CAAEDF" w:rsidP="45CAAEDF" w:rsidRDefault="45CAAEDF" w14:paraId="15DAA6A0" w14:textId="1089A4AE">
      <w:pPr>
        <w:pStyle w:val="Normal"/>
        <w:suppressLineNumbers w:val="0"/>
        <w:bidi w:val="0"/>
        <w:spacing w:before="0" w:beforeAutospacing="off" w:after="160" w:afterAutospacing="off" w:line="279" w:lineRule="auto"/>
        <w:ind w:left="0" w:right="0"/>
        <w:jc w:val="both"/>
        <w:rPr>
          <w:rFonts w:ascii="Arial" w:hAnsi="Arial" w:eastAsia="Arial" w:cs="Arial"/>
          <w:color w:val="auto"/>
          <w:sz w:val="24"/>
          <w:szCs w:val="24"/>
        </w:rPr>
      </w:pPr>
      <w:r w:rsidRPr="45CAAEDF" w:rsidR="45CAAEDF">
        <w:rPr>
          <w:rFonts w:ascii="Arial" w:hAnsi="Arial" w:eastAsia="Arial" w:cs="Arial"/>
          <w:color w:val="auto"/>
          <w:sz w:val="24"/>
          <w:szCs w:val="24"/>
        </w:rPr>
        <w:t>El análisis realizado permitió modelar de manera adecuada la evolución del precio mensual del oro utilizando técnicas de series de tiempo. A partir del análisis exploratorio, se identificó una tendencia creciente no lineal y se justificó el uso de transformaciones logarítmicas y diferenciación para estabilizar la varianza y alcanzar la estacionariedad.</w:t>
      </w:r>
    </w:p>
    <w:p w:rsidR="45CAAEDF" w:rsidP="45CAAEDF" w:rsidRDefault="45CAAEDF" w14:paraId="14793DBD" w14:textId="53549D89">
      <w:pPr>
        <w:pStyle w:val="Normal"/>
        <w:suppressLineNumbers w:val="0"/>
        <w:bidi w:val="0"/>
        <w:spacing w:before="0" w:beforeAutospacing="off" w:after="160" w:afterAutospacing="off" w:line="279" w:lineRule="auto"/>
        <w:ind w:left="0" w:right="0"/>
        <w:jc w:val="both"/>
        <w:rPr>
          <w:rFonts w:ascii="Arial" w:hAnsi="Arial" w:eastAsia="Arial" w:cs="Arial"/>
          <w:color w:val="auto"/>
          <w:sz w:val="24"/>
          <w:szCs w:val="24"/>
        </w:rPr>
      </w:pPr>
      <w:r w:rsidRPr="45CAAEDF" w:rsidR="45CAAEDF">
        <w:rPr>
          <w:rFonts w:ascii="Arial" w:hAnsi="Arial" w:eastAsia="Arial" w:cs="Arial"/>
          <w:color w:val="auto"/>
          <w:sz w:val="24"/>
          <w:szCs w:val="24"/>
        </w:rPr>
        <w:t>Se evaluaron distintas especificaciones de modelos ARMA y ARIMA, y se seleccionaron aquellos con mejor desempeño en términos de ajuste y capacidad predictiva. El modelo ARMA(2,1) fue el más eficaz para capturar la dinámica de los retornos logarítmicos, mientras que el modelo ARIMA(3,2,5) mostró un ajuste robusto para la serie en niveles. Ambos modelos fueron utilizados para realizar predicciones a 12 meses, presentando sus respectivos intervalos de confianza.</w:t>
      </w:r>
    </w:p>
    <w:p w:rsidR="45CAAEDF" w:rsidP="45CAAEDF" w:rsidRDefault="45CAAEDF" w14:paraId="2C0C4123" w14:textId="5B6D8E35">
      <w:pPr>
        <w:pStyle w:val="Normal"/>
        <w:bidi w:val="0"/>
        <w:spacing w:before="0" w:beforeAutospacing="off" w:after="160" w:afterAutospacing="off"/>
        <w:jc w:val="both"/>
        <w:rPr>
          <w:rFonts w:ascii="Arial" w:hAnsi="Arial" w:eastAsia="Arial" w:cs="Arial"/>
          <w:b w:val="0"/>
          <w:bCs w:val="0"/>
          <w:color w:val="auto"/>
          <w:sz w:val="24"/>
          <w:szCs w:val="24"/>
        </w:rPr>
      </w:pPr>
      <w:r w:rsidRPr="45CAAEDF" w:rsidR="45CAAEDF">
        <w:rPr>
          <w:rFonts w:ascii="Arial" w:hAnsi="Arial" w:eastAsia="Arial" w:cs="Arial"/>
          <w:color w:val="auto"/>
          <w:sz w:val="24"/>
          <w:szCs w:val="24"/>
        </w:rPr>
        <w:t xml:space="preserve">Nuestro análisis mostró que el modelo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 xml:space="preserve">2,1) es una buena herramienta para entender cómo cambian los log-retornos del precio del oro y para hacer predicciones a corto plazo. Este modelo es bueno capturando los movimientos diarios o semanales del precio, lo que vimos en las pruebas que hicimos con datos pasados (conocido como </w:t>
      </w:r>
      <w:r w:rsidRPr="45CAAEDF" w:rsidR="45CAAEDF">
        <w:rPr>
          <w:rFonts w:ascii="Arial" w:hAnsi="Arial" w:eastAsia="Arial" w:cs="Arial"/>
          <w:color w:val="auto"/>
          <w:sz w:val="24"/>
          <w:szCs w:val="24"/>
        </w:rPr>
        <w:t>backtesting</w:t>
      </w:r>
      <w:r w:rsidRPr="45CAAEDF" w:rsidR="45CAAEDF">
        <w:rPr>
          <w:rFonts w:ascii="Arial" w:hAnsi="Arial" w:eastAsia="Arial" w:cs="Arial"/>
          <w:color w:val="auto"/>
          <w:sz w:val="24"/>
          <w:szCs w:val="24"/>
        </w:rPr>
        <w:t xml:space="preserve">). El modelo predijo bastante bien el comportamiento del oro en periodos </w:t>
      </w:r>
      <w:r w:rsidRPr="45CAAEDF" w:rsidR="45CAAEDF">
        <w:rPr>
          <w:rFonts w:ascii="Arial" w:hAnsi="Arial" w:eastAsia="Arial" w:cs="Arial"/>
          <w:b w:val="0"/>
          <w:bCs w:val="0"/>
          <w:color w:val="auto"/>
          <w:sz w:val="24"/>
          <w:szCs w:val="24"/>
        </w:rPr>
        <w:t>normales.</w:t>
      </w:r>
    </w:p>
    <w:p w:rsidR="45CAAEDF" w:rsidP="45CAAEDF" w:rsidRDefault="45CAAEDF" w14:paraId="2BF1A038" w14:textId="6DEF3B25">
      <w:pPr>
        <w:pStyle w:val="Normal"/>
        <w:bidi w:val="0"/>
        <w:spacing w:before="0" w:beforeAutospacing="off" w:after="160" w:afterAutospacing="off"/>
        <w:jc w:val="both"/>
        <w:rPr>
          <w:rFonts w:ascii="Arial" w:hAnsi="Arial" w:eastAsia="Arial" w:cs="Arial"/>
          <w:color w:val="auto"/>
          <w:sz w:val="24"/>
          <w:szCs w:val="24"/>
        </w:rPr>
      </w:pPr>
      <w:r w:rsidRPr="45CAAEDF" w:rsidR="45CAAEDF">
        <w:rPr>
          <w:rFonts w:ascii="Arial" w:hAnsi="Arial" w:eastAsia="Arial" w:cs="Arial"/>
          <w:b w:val="0"/>
          <w:bCs w:val="0"/>
          <w:color w:val="auto"/>
          <w:sz w:val="24"/>
          <w:szCs w:val="24"/>
        </w:rPr>
        <w:t>Sin embargo, notamos una limitación importante:</w:t>
      </w:r>
      <w:r w:rsidRPr="45CAAEDF" w:rsidR="45CAAEDF">
        <w:rPr>
          <w:rFonts w:ascii="Arial" w:hAnsi="Arial" w:eastAsia="Arial" w:cs="Arial"/>
          <w:b w:val="0"/>
          <w:bCs w:val="0"/>
          <w:color w:val="auto"/>
          <w:sz w:val="24"/>
          <w:szCs w:val="24"/>
        </w:rPr>
        <w:t xml:space="preserve"> </w:t>
      </w:r>
      <w:r w:rsidRPr="45CAAEDF" w:rsidR="45CAAEDF">
        <w:rPr>
          <w:rFonts w:ascii="Arial" w:hAnsi="Arial" w:eastAsia="Arial" w:cs="Arial"/>
          <w:color w:val="auto"/>
          <w:sz w:val="24"/>
          <w:szCs w:val="24"/>
        </w:rPr>
        <w:t xml:space="preserve">el modelo no es tan preciso cuando el precio del oro sube o baja muy rápido y de forma inesperada. En estas situaciones de cambios bruscos, el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 xml:space="preserve">2,1) </w:t>
      </w:r>
      <w:r w:rsidRPr="45CAAEDF" w:rsidR="45CAAEDF">
        <w:rPr>
          <w:rFonts w:ascii="Arial" w:hAnsi="Arial" w:eastAsia="Arial" w:cs="Arial"/>
          <w:color w:val="auto"/>
          <w:sz w:val="24"/>
          <w:szCs w:val="24"/>
        </w:rPr>
        <w:t>tiende a fallar en sus predicciones. Esto significa que, aunque funciona bien la mayor parte del tiempo, necesitamos considerar otros enfoques para esos momentos de gran agitac</w:t>
      </w:r>
      <w:r w:rsidRPr="45CAAEDF" w:rsidR="45CAAEDF">
        <w:rPr>
          <w:rFonts w:ascii="Arial" w:hAnsi="Arial" w:eastAsia="Arial" w:cs="Arial"/>
          <w:color w:val="auto"/>
          <w:sz w:val="24"/>
          <w:szCs w:val="24"/>
        </w:rPr>
        <w:t>ión en el mercado.</w:t>
      </w:r>
    </w:p>
    <w:p w:rsidR="45CAAEDF" w:rsidP="45CAAEDF" w:rsidRDefault="45CAAEDF" w14:paraId="698745AA" w14:textId="2B8E78FA">
      <w:pPr>
        <w:pStyle w:val="Normal"/>
        <w:bidi w:val="0"/>
        <w:spacing w:before="0" w:beforeAutospacing="off" w:after="160" w:afterAutospacing="off"/>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En cuanto al análisis directo de la serie original de precios, el modelo </w:t>
      </w:r>
      <w:r w:rsidRPr="45CAAEDF" w:rsidR="45CAAEDF">
        <w:rPr>
          <w:rFonts w:ascii="Arial" w:hAnsi="Arial" w:eastAsia="Arial" w:cs="Arial"/>
          <w:color w:val="auto"/>
          <w:sz w:val="24"/>
          <w:szCs w:val="24"/>
        </w:rPr>
        <w:t>ARIMA(</w:t>
      </w:r>
      <w:r w:rsidRPr="45CAAEDF" w:rsidR="45CAAEDF">
        <w:rPr>
          <w:rFonts w:ascii="Arial" w:hAnsi="Arial" w:eastAsia="Arial" w:cs="Arial"/>
          <w:color w:val="auto"/>
          <w:sz w:val="24"/>
          <w:szCs w:val="24"/>
        </w:rPr>
        <w:t xml:space="preserve">3,2,5) resultó el más adecuado según los criterios AIC, BIC, RMSE y MAE, superando al resto de configuraciones probadas. </w:t>
      </w:r>
      <w:r w:rsidRPr="45CAAEDF" w:rsidR="45CAAEDF">
        <w:rPr>
          <w:rFonts w:ascii="Arial" w:hAnsi="Arial" w:eastAsia="Arial" w:cs="Arial"/>
          <w:color w:val="auto"/>
          <w:sz w:val="24"/>
          <w:szCs w:val="24"/>
        </w:rPr>
        <w:t>Este modelo fue capaz de capturar la tendencia alcista más reciente y permitió proyectar el comportamiento a 12 meses, incorporando intervalos de confianza para reflejar la incertidumbre.</w:t>
      </w:r>
      <w:r w:rsidRPr="45CAAEDF" w:rsidR="45CAAEDF">
        <w:rPr>
          <w:rFonts w:ascii="Arial" w:hAnsi="Arial" w:eastAsia="Arial" w:cs="Arial"/>
          <w:color w:val="auto"/>
          <w:sz w:val="24"/>
          <w:szCs w:val="24"/>
        </w:rPr>
        <w:t xml:space="preserve"> No obstante, entre sus limitaciones se identificó cierta heterocedasticidad y desviaciones a la normalidad en los residuos, lo que sugiere que las proyecciones podrían tener mayor incertidumbre en escenarios extremos o ante shocks inesperados. </w:t>
      </w:r>
    </w:p>
    <w:p w:rsidR="45CAAEDF" w:rsidP="45CAAEDF" w:rsidRDefault="45CAAEDF" w14:paraId="4E1CFC71" w14:textId="3F04A546">
      <w:pPr>
        <w:pStyle w:val="Normal"/>
        <w:bidi w:val="0"/>
        <w:spacing w:before="0" w:beforeAutospacing="off" w:after="160" w:afterAutospacing="off"/>
        <w:jc w:val="both"/>
        <w:rPr>
          <w:rFonts w:ascii="Arial" w:hAnsi="Arial" w:eastAsia="Arial" w:cs="Arial"/>
          <w:color w:val="auto"/>
          <w:sz w:val="24"/>
          <w:szCs w:val="24"/>
        </w:rPr>
      </w:pPr>
      <w:r w:rsidRPr="45CAAEDF" w:rsidR="45CAAEDF">
        <w:rPr>
          <w:rFonts w:ascii="Arial" w:hAnsi="Arial" w:eastAsia="Arial" w:cs="Arial"/>
          <w:color w:val="auto"/>
          <w:sz w:val="24"/>
          <w:szCs w:val="24"/>
        </w:rPr>
        <w:t xml:space="preserve">En resumen, el </w:t>
      </w:r>
      <w:r w:rsidRPr="45CAAEDF" w:rsidR="45CAAEDF">
        <w:rPr>
          <w:rFonts w:ascii="Arial" w:hAnsi="Arial" w:eastAsia="Arial" w:cs="Arial"/>
          <w:color w:val="auto"/>
          <w:sz w:val="24"/>
          <w:szCs w:val="24"/>
        </w:rPr>
        <w:t>ARMA(</w:t>
      </w:r>
      <w:r w:rsidRPr="45CAAEDF" w:rsidR="45CAAEDF">
        <w:rPr>
          <w:rFonts w:ascii="Arial" w:hAnsi="Arial" w:eastAsia="Arial" w:cs="Arial"/>
          <w:color w:val="auto"/>
          <w:sz w:val="24"/>
          <w:szCs w:val="24"/>
        </w:rPr>
        <w:t xml:space="preserve">2,1) es útil para analizar cambios moderados en el precio del oro, pero puede quedarse corto si el mercado se mueve bruscamente. Por otro lado, el </w:t>
      </w:r>
      <w:r w:rsidRPr="45CAAEDF" w:rsidR="45CAAEDF">
        <w:rPr>
          <w:rFonts w:ascii="Arial" w:hAnsi="Arial" w:eastAsia="Arial" w:cs="Arial"/>
          <w:color w:val="auto"/>
          <w:sz w:val="24"/>
          <w:szCs w:val="24"/>
        </w:rPr>
        <w:t>ARIMA(</w:t>
      </w:r>
      <w:r w:rsidRPr="45CAAEDF" w:rsidR="45CAAEDF">
        <w:rPr>
          <w:rFonts w:ascii="Arial" w:hAnsi="Arial" w:eastAsia="Arial" w:cs="Arial"/>
          <w:color w:val="auto"/>
          <w:sz w:val="24"/>
          <w:szCs w:val="24"/>
        </w:rPr>
        <w:t>3,2,5) permitió prever cómo podría comportarse el precio en el próximo año y nos da una mejor idea de la tendencia general, aunque tampoco puede anticipar cambios drásticos inesperados. Al final, usar ambos modelos da una visión más completa del mercado, pero siempre es clave tener en cuenta que cualquier predicción tiene cierto grado de incertidumbre, sobre todo cuando el mercado es muy volátil.</w:t>
      </w:r>
    </w:p>
    <w:p w:rsidR="45CAAEDF" w:rsidRDefault="45CAAEDF" w14:paraId="1557E865" w14:textId="127D0A12">
      <w:r>
        <w:br w:type="page"/>
      </w:r>
    </w:p>
    <w:p w:rsidR="45CAAEDF" w:rsidP="45CAAEDF" w:rsidRDefault="45CAAEDF" w14:paraId="78113D4C" w14:textId="2E742E49">
      <w:pPr>
        <w:pStyle w:val="Heading1"/>
        <w:keepNext w:val="1"/>
        <w:keepLines w:val="1"/>
        <w:bidi w:val="0"/>
        <w:rPr>
          <w:rFonts w:ascii="Arial" w:hAnsi="Arial" w:eastAsia="Arial" w:cs="Arial"/>
          <w:b w:val="1"/>
          <w:bCs w:val="1"/>
          <w:color w:val="auto"/>
          <w:sz w:val="24"/>
          <w:szCs w:val="24"/>
        </w:rPr>
      </w:pPr>
      <w:bookmarkStart w:name="_Toc412931452" w:id="1129323896"/>
      <w:bookmarkStart w:name="_Toc45229560" w:id="1964559184"/>
      <w:r w:rsidRPr="45CAAEDF" w:rsidR="45CAAEDF">
        <w:rPr>
          <w:rFonts w:ascii="Arial" w:hAnsi="Arial" w:eastAsia="Arial" w:cs="Arial"/>
          <w:b w:val="1"/>
          <w:bCs w:val="1"/>
          <w:color w:val="auto"/>
          <w:sz w:val="24"/>
          <w:szCs w:val="24"/>
        </w:rPr>
        <w:t>Referencias</w:t>
      </w:r>
      <w:bookmarkEnd w:id="1129323896"/>
      <w:bookmarkEnd w:id="1964559184"/>
    </w:p>
    <w:p w:rsidR="45CAAEDF" w:rsidP="45CAAEDF" w:rsidRDefault="45CAAEDF" w14:paraId="1536E7FC" w14:textId="5569CBF1">
      <w:pPr>
        <w:bidi w:val="0"/>
        <w:spacing w:before="240" w:beforeAutospacing="off" w:after="240" w:afterAutospacing="off"/>
        <w:jc w:val="both"/>
        <w:rPr>
          <w:rFonts w:ascii="Arial" w:hAnsi="Arial" w:eastAsia="Arial" w:cs="Arial"/>
          <w:noProof w:val="0"/>
          <w:sz w:val="24"/>
          <w:szCs w:val="24"/>
          <w:lang w:val="es-CL"/>
        </w:rPr>
      </w:pPr>
      <w:r w:rsidRPr="45CAAEDF" w:rsidR="45CAAEDF">
        <w:rPr>
          <w:rFonts w:ascii="Arial" w:hAnsi="Arial" w:eastAsia="Arial" w:cs="Arial"/>
          <w:noProof w:val="0"/>
          <w:sz w:val="24"/>
          <w:szCs w:val="24"/>
          <w:lang w:val="es-CL"/>
        </w:rPr>
        <w:t xml:space="preserve">Box, G. E. P., Jenkins, G. M., &amp; </w:t>
      </w:r>
      <w:r w:rsidRPr="45CAAEDF" w:rsidR="45CAAEDF">
        <w:rPr>
          <w:rFonts w:ascii="Arial" w:hAnsi="Arial" w:eastAsia="Arial" w:cs="Arial"/>
          <w:noProof w:val="0"/>
          <w:sz w:val="24"/>
          <w:szCs w:val="24"/>
          <w:lang w:val="es-CL"/>
        </w:rPr>
        <w:t>Reinsel</w:t>
      </w:r>
      <w:r w:rsidRPr="45CAAEDF" w:rsidR="45CAAEDF">
        <w:rPr>
          <w:rFonts w:ascii="Arial" w:hAnsi="Arial" w:eastAsia="Arial" w:cs="Arial"/>
          <w:noProof w:val="0"/>
          <w:sz w:val="24"/>
          <w:szCs w:val="24"/>
          <w:lang w:val="es-CL"/>
        </w:rPr>
        <w:t xml:space="preserve">, G. C. (2015). </w:t>
      </w:r>
      <w:r w:rsidRPr="45CAAEDF" w:rsidR="45CAAEDF">
        <w:rPr>
          <w:rFonts w:ascii="Arial" w:hAnsi="Arial" w:eastAsia="Arial" w:cs="Arial"/>
          <w:i w:val="1"/>
          <w:iCs w:val="1"/>
          <w:noProof w:val="0"/>
          <w:sz w:val="24"/>
          <w:szCs w:val="24"/>
          <w:lang w:val="es-CL"/>
        </w:rPr>
        <w:t xml:space="preserve">Time Series </w:t>
      </w:r>
      <w:r w:rsidRPr="45CAAEDF" w:rsidR="45CAAEDF">
        <w:rPr>
          <w:rFonts w:ascii="Arial" w:hAnsi="Arial" w:eastAsia="Arial" w:cs="Arial"/>
          <w:i w:val="1"/>
          <w:iCs w:val="1"/>
          <w:noProof w:val="0"/>
          <w:sz w:val="24"/>
          <w:szCs w:val="24"/>
          <w:lang w:val="es-CL"/>
        </w:rPr>
        <w:t>Analysis</w:t>
      </w:r>
      <w:r w:rsidRPr="45CAAEDF" w:rsidR="45CAAEDF">
        <w:rPr>
          <w:rFonts w:ascii="Arial" w:hAnsi="Arial" w:eastAsia="Arial" w:cs="Arial"/>
          <w:i w:val="1"/>
          <w:iCs w:val="1"/>
          <w:noProof w:val="0"/>
          <w:sz w:val="24"/>
          <w:szCs w:val="24"/>
          <w:lang w:val="es-CL"/>
        </w:rPr>
        <w:t xml:space="preserve">: </w:t>
      </w:r>
      <w:r w:rsidRPr="45CAAEDF" w:rsidR="45CAAEDF">
        <w:rPr>
          <w:rFonts w:ascii="Arial" w:hAnsi="Arial" w:eastAsia="Arial" w:cs="Arial"/>
          <w:i w:val="1"/>
          <w:iCs w:val="1"/>
          <w:noProof w:val="0"/>
          <w:sz w:val="24"/>
          <w:szCs w:val="24"/>
          <w:lang w:val="es-CL"/>
        </w:rPr>
        <w:t>Forecasting</w:t>
      </w:r>
      <w:r w:rsidRPr="45CAAEDF" w:rsidR="45CAAEDF">
        <w:rPr>
          <w:rFonts w:ascii="Arial" w:hAnsi="Arial" w:eastAsia="Arial" w:cs="Arial"/>
          <w:i w:val="1"/>
          <w:iCs w:val="1"/>
          <w:noProof w:val="0"/>
          <w:sz w:val="24"/>
          <w:szCs w:val="24"/>
          <w:lang w:val="es-CL"/>
        </w:rPr>
        <w:t xml:space="preserve"> and Control</w:t>
      </w:r>
      <w:r w:rsidRPr="45CAAEDF" w:rsidR="45CAAEDF">
        <w:rPr>
          <w:rFonts w:ascii="Arial" w:hAnsi="Arial" w:eastAsia="Arial" w:cs="Arial"/>
          <w:noProof w:val="0"/>
          <w:sz w:val="24"/>
          <w:szCs w:val="24"/>
          <w:lang w:val="es-CL"/>
        </w:rPr>
        <w:t xml:space="preserve"> (5th ed.). Wiley.</w:t>
      </w:r>
    </w:p>
    <w:p w:rsidR="45CAAEDF" w:rsidP="45CAAEDF" w:rsidRDefault="45CAAEDF" w14:paraId="1FEE9E2B" w14:textId="48501876">
      <w:pPr>
        <w:bidi w:val="0"/>
        <w:spacing w:before="240" w:beforeAutospacing="off" w:after="240" w:afterAutospacing="off"/>
        <w:jc w:val="both"/>
        <w:rPr>
          <w:rFonts w:ascii="Arial" w:hAnsi="Arial" w:eastAsia="Arial" w:cs="Arial"/>
        </w:rPr>
      </w:pPr>
      <w:r w:rsidRPr="45CAAEDF" w:rsidR="45CAAEDF">
        <w:rPr>
          <w:rFonts w:ascii="Arial" w:hAnsi="Arial" w:eastAsia="Arial" w:cs="Arial"/>
          <w:noProof w:val="0"/>
          <w:sz w:val="24"/>
          <w:szCs w:val="24"/>
          <w:lang w:val="es-CL"/>
        </w:rPr>
        <w:t>World</w:t>
      </w:r>
      <w:r w:rsidRPr="45CAAEDF" w:rsidR="45CAAEDF">
        <w:rPr>
          <w:rFonts w:ascii="Arial" w:hAnsi="Arial" w:eastAsia="Arial" w:cs="Arial"/>
          <w:noProof w:val="0"/>
          <w:sz w:val="24"/>
          <w:szCs w:val="24"/>
          <w:lang w:val="es-CL"/>
        </w:rPr>
        <w:t xml:space="preserve"> Gold Council. (2023). </w:t>
      </w:r>
      <w:r w:rsidRPr="45CAAEDF" w:rsidR="45CAAEDF">
        <w:rPr>
          <w:rFonts w:ascii="Arial" w:hAnsi="Arial" w:eastAsia="Arial" w:cs="Arial"/>
          <w:i w:val="1"/>
          <w:iCs w:val="1"/>
          <w:noProof w:val="0"/>
          <w:sz w:val="24"/>
          <w:szCs w:val="24"/>
          <w:lang w:val="es-CL"/>
        </w:rPr>
        <w:t xml:space="preserve">Gold as </w:t>
      </w:r>
      <w:r w:rsidRPr="45CAAEDF" w:rsidR="45CAAEDF">
        <w:rPr>
          <w:rFonts w:ascii="Arial" w:hAnsi="Arial" w:eastAsia="Arial" w:cs="Arial"/>
          <w:i w:val="1"/>
          <w:iCs w:val="1"/>
          <w:noProof w:val="0"/>
          <w:sz w:val="24"/>
          <w:szCs w:val="24"/>
          <w:lang w:val="es-CL"/>
        </w:rPr>
        <w:t>an</w:t>
      </w:r>
      <w:r w:rsidRPr="45CAAEDF" w:rsidR="45CAAEDF">
        <w:rPr>
          <w:rFonts w:ascii="Arial" w:hAnsi="Arial" w:eastAsia="Arial" w:cs="Arial"/>
          <w:i w:val="1"/>
          <w:iCs w:val="1"/>
          <w:noProof w:val="0"/>
          <w:sz w:val="24"/>
          <w:szCs w:val="24"/>
          <w:lang w:val="es-CL"/>
        </w:rPr>
        <w:t xml:space="preserve"> </w:t>
      </w:r>
      <w:r w:rsidRPr="45CAAEDF" w:rsidR="45CAAEDF">
        <w:rPr>
          <w:rFonts w:ascii="Arial" w:hAnsi="Arial" w:eastAsia="Arial" w:cs="Arial"/>
          <w:i w:val="1"/>
          <w:iCs w:val="1"/>
          <w:noProof w:val="0"/>
          <w:sz w:val="24"/>
          <w:szCs w:val="24"/>
          <w:lang w:val="es-CL"/>
        </w:rPr>
        <w:t>inflation</w:t>
      </w:r>
      <w:r w:rsidRPr="45CAAEDF" w:rsidR="45CAAEDF">
        <w:rPr>
          <w:rFonts w:ascii="Arial" w:hAnsi="Arial" w:eastAsia="Arial" w:cs="Arial"/>
          <w:i w:val="1"/>
          <w:iCs w:val="1"/>
          <w:noProof w:val="0"/>
          <w:sz w:val="24"/>
          <w:szCs w:val="24"/>
          <w:lang w:val="es-CL"/>
        </w:rPr>
        <w:t xml:space="preserve"> </w:t>
      </w:r>
      <w:r w:rsidRPr="45CAAEDF" w:rsidR="45CAAEDF">
        <w:rPr>
          <w:rFonts w:ascii="Arial" w:hAnsi="Arial" w:eastAsia="Arial" w:cs="Arial"/>
          <w:i w:val="1"/>
          <w:iCs w:val="1"/>
          <w:noProof w:val="0"/>
          <w:sz w:val="24"/>
          <w:szCs w:val="24"/>
          <w:lang w:val="es-CL"/>
        </w:rPr>
        <w:t>hedge</w:t>
      </w:r>
      <w:r w:rsidRPr="45CAAEDF" w:rsidR="45CAAEDF">
        <w:rPr>
          <w:rFonts w:ascii="Arial" w:hAnsi="Arial" w:eastAsia="Arial" w:cs="Arial"/>
          <w:i w:val="1"/>
          <w:iCs w:val="1"/>
          <w:noProof w:val="0"/>
          <w:sz w:val="24"/>
          <w:szCs w:val="24"/>
          <w:lang w:val="es-CL"/>
        </w:rPr>
        <w:t xml:space="preserve">: </w:t>
      </w:r>
      <w:r w:rsidRPr="45CAAEDF" w:rsidR="45CAAEDF">
        <w:rPr>
          <w:rFonts w:ascii="Arial" w:hAnsi="Arial" w:eastAsia="Arial" w:cs="Arial"/>
          <w:i w:val="1"/>
          <w:iCs w:val="1"/>
          <w:noProof w:val="0"/>
          <w:sz w:val="24"/>
          <w:szCs w:val="24"/>
          <w:lang w:val="es-CL"/>
        </w:rPr>
        <w:t>What</w:t>
      </w:r>
      <w:r w:rsidRPr="45CAAEDF" w:rsidR="45CAAEDF">
        <w:rPr>
          <w:rFonts w:ascii="Arial" w:hAnsi="Arial" w:eastAsia="Arial" w:cs="Arial"/>
          <w:i w:val="1"/>
          <w:iCs w:val="1"/>
          <w:noProof w:val="0"/>
          <w:sz w:val="24"/>
          <w:szCs w:val="24"/>
          <w:lang w:val="es-CL"/>
        </w:rPr>
        <w:t xml:space="preserve"> </w:t>
      </w:r>
      <w:r w:rsidRPr="45CAAEDF" w:rsidR="45CAAEDF">
        <w:rPr>
          <w:rFonts w:ascii="Arial" w:hAnsi="Arial" w:eastAsia="Arial" w:cs="Arial"/>
          <w:i w:val="1"/>
          <w:iCs w:val="1"/>
          <w:noProof w:val="0"/>
          <w:sz w:val="24"/>
          <w:szCs w:val="24"/>
          <w:lang w:val="es-CL"/>
        </w:rPr>
        <w:t>you</w:t>
      </w:r>
      <w:r w:rsidRPr="45CAAEDF" w:rsidR="45CAAEDF">
        <w:rPr>
          <w:rFonts w:ascii="Arial" w:hAnsi="Arial" w:eastAsia="Arial" w:cs="Arial"/>
          <w:i w:val="1"/>
          <w:iCs w:val="1"/>
          <w:noProof w:val="0"/>
          <w:sz w:val="24"/>
          <w:szCs w:val="24"/>
          <w:lang w:val="es-CL"/>
        </w:rPr>
        <w:t xml:space="preserve"> </w:t>
      </w:r>
      <w:r w:rsidRPr="45CAAEDF" w:rsidR="45CAAEDF">
        <w:rPr>
          <w:rFonts w:ascii="Arial" w:hAnsi="Arial" w:eastAsia="Arial" w:cs="Arial"/>
          <w:i w:val="1"/>
          <w:iCs w:val="1"/>
          <w:noProof w:val="0"/>
          <w:sz w:val="24"/>
          <w:szCs w:val="24"/>
          <w:lang w:val="es-CL"/>
        </w:rPr>
        <w:t>need</w:t>
      </w:r>
      <w:r w:rsidRPr="45CAAEDF" w:rsidR="45CAAEDF">
        <w:rPr>
          <w:rFonts w:ascii="Arial" w:hAnsi="Arial" w:eastAsia="Arial" w:cs="Arial"/>
          <w:i w:val="1"/>
          <w:iCs w:val="1"/>
          <w:noProof w:val="0"/>
          <w:sz w:val="24"/>
          <w:szCs w:val="24"/>
          <w:lang w:val="es-CL"/>
        </w:rPr>
        <w:t xml:space="preserve"> </w:t>
      </w:r>
      <w:r w:rsidRPr="45CAAEDF" w:rsidR="45CAAEDF">
        <w:rPr>
          <w:rFonts w:ascii="Arial" w:hAnsi="Arial" w:eastAsia="Arial" w:cs="Arial"/>
          <w:i w:val="1"/>
          <w:iCs w:val="1"/>
          <w:noProof w:val="0"/>
          <w:sz w:val="24"/>
          <w:szCs w:val="24"/>
          <w:lang w:val="es-CL"/>
        </w:rPr>
        <w:t>to</w:t>
      </w:r>
      <w:r w:rsidRPr="45CAAEDF" w:rsidR="45CAAEDF">
        <w:rPr>
          <w:rFonts w:ascii="Arial" w:hAnsi="Arial" w:eastAsia="Arial" w:cs="Arial"/>
          <w:i w:val="1"/>
          <w:iCs w:val="1"/>
          <w:noProof w:val="0"/>
          <w:sz w:val="24"/>
          <w:szCs w:val="24"/>
          <w:lang w:val="es-CL"/>
        </w:rPr>
        <w:t xml:space="preserve"> </w:t>
      </w:r>
      <w:r w:rsidRPr="45CAAEDF" w:rsidR="45CAAEDF">
        <w:rPr>
          <w:rFonts w:ascii="Arial" w:hAnsi="Arial" w:eastAsia="Arial" w:cs="Arial"/>
          <w:i w:val="1"/>
          <w:iCs w:val="1"/>
          <w:noProof w:val="0"/>
          <w:sz w:val="24"/>
          <w:szCs w:val="24"/>
          <w:lang w:val="es-CL"/>
        </w:rPr>
        <w:t>know</w:t>
      </w:r>
      <w:r w:rsidRPr="45CAAEDF" w:rsidR="45CAAEDF">
        <w:rPr>
          <w:rFonts w:ascii="Arial" w:hAnsi="Arial" w:eastAsia="Arial" w:cs="Arial"/>
          <w:noProof w:val="0"/>
          <w:sz w:val="24"/>
          <w:szCs w:val="24"/>
          <w:lang w:val="es-CL"/>
        </w:rPr>
        <w:t xml:space="preserve">. </w:t>
      </w:r>
      <w:hyperlink r:id="R0a7952e3d4c44cea">
        <w:r w:rsidRPr="45CAAEDF" w:rsidR="45CAAEDF">
          <w:rPr>
            <w:rStyle w:val="Hyperlink"/>
            <w:rFonts w:ascii="Arial" w:hAnsi="Arial" w:eastAsia="Arial" w:cs="Arial"/>
            <w:noProof w:val="0"/>
            <w:sz w:val="24"/>
            <w:szCs w:val="24"/>
            <w:lang w:val="es-CL"/>
          </w:rPr>
          <w:t>https://www.gold.org/goldhub/research/gold-inflation-hedge</w:t>
        </w:r>
      </w:hyperlink>
    </w:p>
    <w:p w:rsidR="45CAAEDF" w:rsidP="45CAAEDF" w:rsidRDefault="45CAAEDF" w14:paraId="779C3EAD" w14:textId="21534435">
      <w:pPr>
        <w:bidi w:val="0"/>
        <w:spacing w:before="0" w:beforeAutospacing="off" w:after="0" w:afterAutospacing="off"/>
        <w:jc w:val="both"/>
        <w:rPr>
          <w:rFonts w:ascii="Arial" w:hAnsi="Arial" w:eastAsia="Arial" w:cs="Arial"/>
          <w:noProof w:val="0"/>
          <w:sz w:val="24"/>
          <w:szCs w:val="24"/>
          <w:lang w:val="es-419"/>
        </w:rPr>
      </w:pPr>
      <w:r w:rsidRPr="45CAAEDF" w:rsidR="45CAAEDF">
        <w:rPr>
          <w:rFonts w:ascii="Arial" w:hAnsi="Arial" w:eastAsia="Arial" w:cs="Arial"/>
          <w:noProof w:val="0"/>
          <w:sz w:val="24"/>
          <w:szCs w:val="24"/>
          <w:lang w:val="es-419"/>
        </w:rPr>
        <w:t xml:space="preserve">Pontificia Universidad Católica de Chile. (2025). </w:t>
      </w:r>
      <w:r w:rsidRPr="45CAAEDF" w:rsidR="45CAAEDF">
        <w:rPr>
          <w:rFonts w:ascii="Arial" w:hAnsi="Arial" w:eastAsia="Arial" w:cs="Arial"/>
          <w:i w:val="1"/>
          <w:iCs w:val="1"/>
          <w:noProof w:val="0"/>
          <w:sz w:val="24"/>
          <w:szCs w:val="24"/>
          <w:lang w:val="es-419"/>
        </w:rPr>
        <w:t>Material de clase para Series de Tiempo</w:t>
      </w:r>
      <w:r w:rsidRPr="45CAAEDF" w:rsidR="45CAAEDF">
        <w:rPr>
          <w:rFonts w:ascii="Arial" w:hAnsi="Arial" w:eastAsia="Arial" w:cs="Arial"/>
          <w:noProof w:val="0"/>
          <w:sz w:val="24"/>
          <w:szCs w:val="24"/>
          <w:lang w:val="es-419"/>
        </w:rPr>
        <w:t>. Material de curso, Maestría en Ciencia de Datos, Pontificia Universidad Católica de Chile.</w:t>
      </w:r>
    </w:p>
    <w:p w:rsidR="45CAAEDF" w:rsidP="45CAAEDF" w:rsidRDefault="45CAAEDF" w14:paraId="124D977B" w14:textId="74371F7F">
      <w:pPr>
        <w:bidi w:val="0"/>
        <w:spacing w:before="240" w:beforeAutospacing="off" w:after="240" w:afterAutospacing="off"/>
        <w:jc w:val="both"/>
        <w:rPr>
          <w:rFonts w:ascii="Arial" w:hAnsi="Arial" w:eastAsia="Arial" w:cs="Arial"/>
          <w:noProof w:val="0"/>
          <w:sz w:val="24"/>
          <w:szCs w:val="24"/>
          <w:lang w:val="es-CL"/>
        </w:rPr>
      </w:pPr>
    </w:p>
    <w:p w:rsidR="15198728" w:rsidP="45CAAEDF" w:rsidRDefault="15198728" w14:paraId="72117174" w14:textId="3E6AD014">
      <w:pPr>
        <w:pStyle w:val="Normal"/>
        <w:keepNext w:val="1"/>
        <w:keepLines w:val="1"/>
        <w:bidi w:val="0"/>
        <w:spacing w:line="240" w:lineRule="auto"/>
        <w:jc w:val="both"/>
        <w:rPr>
          <w:rFonts w:ascii="Arial" w:hAnsi="Arial" w:eastAsia="Arial" w:cs="Arial"/>
          <w:noProof w:val="0"/>
          <w:color w:val="auto"/>
          <w:sz w:val="24"/>
          <w:szCs w:val="24"/>
          <w:lang w:val="es-419"/>
        </w:rPr>
      </w:pPr>
    </w:p>
    <w:p w:rsidR="4BEE8425" w:rsidP="45CAAEDF" w:rsidRDefault="4BEE8425" w14:paraId="1FDDCE46" w14:textId="5EA63D7C">
      <w:pPr>
        <w:pStyle w:val="Normal"/>
        <w:spacing w:line="240" w:lineRule="auto"/>
        <w:jc w:val="both"/>
        <w:rPr>
          <w:rFonts w:ascii="Arial" w:hAnsi="Arial" w:eastAsia="Arial" w:cs="Arial"/>
          <w:color w:val="auto"/>
          <w:sz w:val="24"/>
          <w:szCs w:val="24"/>
        </w:rPr>
      </w:pPr>
    </w:p>
    <w:sectPr>
      <w:pgSz w:w="12240" w:h="15840" w:orient="portrait"/>
      <w:pgMar w:top="1440" w:right="1440" w:bottom="1440" w:left="1440" w:header="720" w:footer="720" w:gutter="0"/>
      <w:cols w:space="720"/>
      <w:docGrid w:linePitch="360"/>
      <w:headerReference w:type="default" r:id="R0b372e23bbe04b9f"/>
      <w:footerReference w:type="default" r:id="R4833d411536444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7D882986" w:rsidRDefault="7D882986" w14:paraId="340C5552" w14:textId="31E191CA"/>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p w:rsidR="7D882986" w:rsidP="45CAAEDF" w:rsidRDefault="7D882986" w14:paraId="68CC0F0C" w14:textId="4D9A9A99">
    <w:pPr>
      <w:pBdr>
        <w:bottom w:val="single" w:color="000000" w:sz="6" w:space="1"/>
      </w:pBdr>
      <w:tabs>
        <w:tab w:val="center" w:leader="none" w:pos="4680"/>
        <w:tab w:val="right" w:leader="none" w:pos="9360"/>
      </w:tabs>
      <w:bidi w:val="0"/>
      <w:spacing w:after="0"/>
      <w:jc w:val="right"/>
    </w:pPr>
    <w:r w:rsidR="7D882986">
      <w:drawing>
        <wp:anchor distT="0" distB="0" distL="114300" distR="114300" simplePos="0" relativeHeight="251658240" behindDoc="0" locked="0" layoutInCell="1" allowOverlap="1" wp14:editId="1F8E2520" wp14:anchorId="416F0FAA">
          <wp:simplePos x="0" y="0"/>
          <wp:positionH relativeFrom="column">
            <wp:align>right</wp:align>
          </wp:positionH>
          <wp:positionV relativeFrom="paragraph">
            <wp:posOffset>0</wp:posOffset>
          </wp:positionV>
          <wp:extent cx="1362075" cy="838200"/>
          <wp:effectExtent l="0" t="0" r="0" b="0"/>
          <wp:wrapNone/>
          <wp:docPr id="815085460" name="" descr="Imagen que contiene Calendario&#10;&#10;Descripción generada automáticamente, Picture" title=""/>
          <wp:cNvGraphicFramePr>
            <a:graphicFrameLocks noChangeAspect="1"/>
          </wp:cNvGraphicFramePr>
          <a:graphic>
            <a:graphicData uri="http://schemas.openxmlformats.org/drawingml/2006/picture">
              <pic:pic>
                <pic:nvPicPr>
                  <pic:cNvPr id="0" name=""/>
                  <pic:cNvPicPr/>
                </pic:nvPicPr>
                <pic:blipFill>
                  <a:blip r:embed="R37625f1da0914a2d">
                    <a:extLst>
                      <a:ext xmlns:a="http://schemas.openxmlformats.org/drawingml/2006/main" uri="{28A0092B-C50C-407E-A947-70E740481C1C}">
                        <a14:useLocalDpi val="0"/>
                      </a:ext>
                    </a:extLst>
                  </a:blip>
                  <a:stretch>
                    <a:fillRect/>
                  </a:stretch>
                </pic:blipFill>
                <pic:spPr>
                  <a:xfrm>
                    <a:off x="0" y="0"/>
                    <a:ext cx="1362075" cy="838200"/>
                  </a:xfrm>
                  <a:prstGeom prst="rect">
                    <a:avLst/>
                  </a:prstGeom>
                </pic:spPr>
              </pic:pic>
            </a:graphicData>
          </a:graphic>
          <wp14:sizeRelH relativeFrom="page">
            <wp14:pctWidth>0</wp14:pctWidth>
          </wp14:sizeRelH>
          <wp14:sizeRelV relativeFrom="page">
            <wp14:pctHeight>0</wp14:pctHeight>
          </wp14:sizeRelV>
        </wp:anchor>
      </w:drawing>
    </w:r>
  </w:p>
  <w:p w:rsidR="7D882986" w:rsidP="45CAAEDF" w:rsidRDefault="7D882986" w14:paraId="00AAD23D" w14:textId="3A2CFB30">
    <w:pPr>
      <w:pBdr>
        <w:bottom w:val="single" w:color="000000" w:sz="6" w:space="1"/>
      </w:pBdr>
      <w:tabs>
        <w:tab w:val="center" w:leader="none" w:pos="4680"/>
        <w:tab w:val="right" w:leader="none" w:pos="9360"/>
      </w:tabs>
      <w:bidi w:val="0"/>
      <w:spacing w:after="0"/>
      <w:rPr>
        <w:rFonts w:ascii="Aptos" w:hAnsi="Aptos" w:eastAsia="Aptos" w:cs="Aptos"/>
        <w:b w:val="0"/>
        <w:bCs w:val="0"/>
        <w:i w:val="0"/>
        <w:iCs w:val="0"/>
        <w:caps w:val="0"/>
        <w:smallCaps w:val="0"/>
        <w:noProof w:val="0"/>
        <w:color w:val="000000" w:themeColor="text1" w:themeTint="FF" w:themeShade="FF"/>
        <w:sz w:val="24"/>
        <w:szCs w:val="24"/>
        <w:lang w:val="en-US"/>
      </w:rPr>
    </w:pPr>
    <w:r w:rsidRPr="45CAAEDF" w:rsidR="45CAAEDF">
      <w:rPr>
        <w:rFonts w:ascii="Aptos" w:hAnsi="Aptos" w:eastAsia="Aptos" w:cs="Aptos"/>
        <w:b w:val="0"/>
        <w:bCs w:val="0"/>
        <w:i w:val="0"/>
        <w:iCs w:val="0"/>
        <w:caps w:val="0"/>
        <w:smallCaps w:val="0"/>
        <w:color w:val="000000" w:themeColor="text1" w:themeTint="FF" w:themeShade="FF"/>
        <w:sz w:val="24"/>
        <w:szCs w:val="24"/>
      </w:rPr>
      <w:t>Pontificia Universidad Católica de Chile</w:t>
    </w:r>
    <w:r>
      <w:br/>
    </w:r>
    <w:r w:rsidRPr="45CAAEDF" w:rsidR="45CAAEDF">
      <w:rPr>
        <w:rFonts w:ascii="Aptos" w:hAnsi="Aptos" w:eastAsia="Aptos" w:cs="Aptos"/>
        <w:b w:val="0"/>
        <w:bCs w:val="0"/>
        <w:i w:val="0"/>
        <w:iCs w:val="0"/>
        <w:caps w:val="0"/>
        <w:smallCaps w:val="0"/>
        <w:color w:val="000000" w:themeColor="text1" w:themeTint="FF" w:themeShade="FF"/>
        <w:sz w:val="24"/>
        <w:szCs w:val="24"/>
      </w:rPr>
      <w:t>Magíster en Ciencia de Datos</w:t>
    </w:r>
  </w:p>
  <w:p w:rsidR="7D882986" w:rsidP="45CAAEDF" w:rsidRDefault="7D882986" w14:paraId="07C40995" w14:textId="317E767B">
    <w:pPr>
      <w:pStyle w:val="Header"/>
      <w:pBdr>
        <w:bottom w:val="single" w:color="000000" w:sz="6" w:space="1"/>
      </w:pBdr>
      <w:tabs>
        <w:tab w:val="center" w:leader="none" w:pos="4680"/>
        <w:tab w:val="right" w:leader="none" w:pos="9360"/>
      </w:tabs>
      <w:bidi w:val="0"/>
      <w:spacing w:after="0"/>
      <w:rPr>
        <w:rFonts w:ascii="Aptos" w:hAnsi="Aptos" w:eastAsia="Aptos" w:cs="Aptos"/>
        <w:b w:val="0"/>
        <w:bCs w:val="0"/>
        <w:i w:val="0"/>
        <w:iCs w:val="0"/>
        <w:caps w:val="0"/>
        <w:smallCaps w:val="0"/>
        <w:color w:val="000000" w:themeColor="text1" w:themeTint="FF" w:themeShade="FF"/>
        <w:sz w:val="24"/>
        <w:szCs w:val="24"/>
      </w:rPr>
    </w:pPr>
  </w:p>
</w:hdr>
</file>

<file path=word/numbering.xml><?xml version="1.0" encoding="utf-8"?>
<w:numbering xmlns:w="http://schemas.openxmlformats.org/wordprocessingml/2006/main">
  <w:abstractNum xmlns:w="http://schemas.openxmlformats.org/wordprocessingml/2006/main" w:abstractNumId="11">
    <w:nsid w:val="12828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a466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e47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0e8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fe7a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50046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9fd4d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9adb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7b20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fa2c7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ef2d08"/>
    <w:multiLevelType xmlns:w="http://schemas.openxmlformats.org/wordprocessingml/2006/main" w:val="hybridMultilevel"/>
    <w:lvl xmlns:w="http://schemas.openxmlformats.org/wordprocessingml/2006/main" w:ilvl="0">
      <w:start w:val="1"/>
      <w:numFmt w:val="bullet"/>
      <w:lvlText w:val=""/>
      <w:lvlJc w:val="left"/>
      <w:pPr>
        <w:ind w:left="64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240FAE"/>
    <w:rsid w:val="070CD363"/>
    <w:rsid w:val="07FADD1B"/>
    <w:rsid w:val="0E60C67D"/>
    <w:rsid w:val="0E73FA72"/>
    <w:rsid w:val="12CCD538"/>
    <w:rsid w:val="15198728"/>
    <w:rsid w:val="1F4B47D2"/>
    <w:rsid w:val="2176734B"/>
    <w:rsid w:val="253AA499"/>
    <w:rsid w:val="2D8A79A8"/>
    <w:rsid w:val="2F021493"/>
    <w:rsid w:val="316E45A4"/>
    <w:rsid w:val="33240FAE"/>
    <w:rsid w:val="3327BC2A"/>
    <w:rsid w:val="3C85AD4A"/>
    <w:rsid w:val="3D4EEA78"/>
    <w:rsid w:val="4192E316"/>
    <w:rsid w:val="44D40BAF"/>
    <w:rsid w:val="45CAAEDF"/>
    <w:rsid w:val="4872C261"/>
    <w:rsid w:val="4BEE8425"/>
    <w:rsid w:val="4C8DF327"/>
    <w:rsid w:val="4C8DF327"/>
    <w:rsid w:val="4F5C7FCA"/>
    <w:rsid w:val="526134B2"/>
    <w:rsid w:val="571455B9"/>
    <w:rsid w:val="5A1BF6D7"/>
    <w:rsid w:val="5A1BF6D7"/>
    <w:rsid w:val="60004D45"/>
    <w:rsid w:val="60914AD2"/>
    <w:rsid w:val="62BEE89C"/>
    <w:rsid w:val="631EC08F"/>
    <w:rsid w:val="648EE844"/>
    <w:rsid w:val="6667D34B"/>
    <w:rsid w:val="67E99FB2"/>
    <w:rsid w:val="67E99FB2"/>
    <w:rsid w:val="68A33DB8"/>
    <w:rsid w:val="6975DCAD"/>
    <w:rsid w:val="6C1572AF"/>
    <w:rsid w:val="6C3EC4F7"/>
    <w:rsid w:val="6C3EC4F7"/>
    <w:rsid w:val="6F3BCAB4"/>
    <w:rsid w:val="76B9116C"/>
    <w:rsid w:val="7C2857C0"/>
    <w:rsid w:val="7D88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0FAE"/>
  <w15:chartTrackingRefBased/>
  <w15:docId w15:val="{E73BB59A-2632-428C-A53E-28A2FA1504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5CAAEDF"/>
    <w:rPr>
      <w:noProof w:val="0"/>
      <w:lang w:val="es-C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45CAAEDF"/>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45CAAEDF"/>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45CAAEDF"/>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45CAAEDF"/>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45CAAEDF"/>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45CAAEDF"/>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45CAAEDF"/>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45CAAEDF"/>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45CAAEDF"/>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45CAAEDF"/>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45CAAEDF"/>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45CAAEDF"/>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45CAAEDF"/>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45CAAEDF"/>
    <w:pPr>
      <w:tabs>
        <w:tab w:val="center" w:leader="none" w:pos="4680"/>
        <w:tab w:val="right" w:leader="none" w:pos="9360"/>
      </w:tabs>
      <w:spacing w:after="0" w:line="240" w:lineRule="auto"/>
    </w:pPr>
  </w:style>
  <w:style w:type="paragraph" w:styleId="ListParagraph">
    <w:uiPriority w:val="34"/>
    <w:name w:val="List Paragraph"/>
    <w:basedOn w:val="Normal"/>
    <w:qFormat/>
    <w:rsid w:val="45CAAED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1">
    <w:uiPriority w:val="39"/>
    <w:name w:val="toc 1"/>
    <w:basedOn w:val="Normal"/>
    <w:next w:val="Normal"/>
    <w:unhideWhenUsed/>
    <w:rsid w:val="45CAAEDF"/>
    <w:pPr>
      <w:spacing w:after="100"/>
    </w:pPr>
  </w:style>
  <w:style w:type="character" w:styleId="Hyperlink">
    <w:uiPriority w:val="99"/>
    <w:name w:val="Hyperlink"/>
    <w:basedOn w:val="DefaultParagraphFont"/>
    <w:unhideWhenUsed/>
    <w:rsid w:val="15198728"/>
    <w:rPr>
      <w:color w:val="467886"/>
      <w:u w:val="single"/>
    </w:rPr>
  </w:style>
  <w:style w:type="paragraph" w:styleId="TOC2">
    <w:uiPriority w:val="39"/>
    <w:name w:val="toc 2"/>
    <w:basedOn w:val="Normal"/>
    <w:next w:val="Normal"/>
    <w:unhideWhenUsed/>
    <w:rsid w:val="45CAAEDF"/>
    <w:pPr>
      <w:spacing w:after="100"/>
      <w:ind w:left="220"/>
    </w:pPr>
  </w:style>
  <w:style w:type="paragraph" w:styleId="TOC3">
    <w:uiPriority w:val="39"/>
    <w:name w:val="toc 3"/>
    <w:basedOn w:val="Normal"/>
    <w:next w:val="Normal"/>
    <w:unhideWhenUsed/>
    <w:rsid w:val="45CAAE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b372e23bbe04b9f" /><Relationship Type="http://schemas.openxmlformats.org/officeDocument/2006/relationships/footer" Target="footer.xml" Id="R4833d411536444e4" /><Relationship Type="http://schemas.openxmlformats.org/officeDocument/2006/relationships/numbering" Target="numbering.xml" Id="Rc313b099202f41c4" /><Relationship Type="http://schemas.openxmlformats.org/officeDocument/2006/relationships/image" Target="/media/image2.png" Id="R5ab6bbb39a2a4f6d" /><Relationship Type="http://schemas.openxmlformats.org/officeDocument/2006/relationships/image" Target="/media/image3.png" Id="R48b0deed42cd4ef2" /><Relationship Type="http://schemas.openxmlformats.org/officeDocument/2006/relationships/image" Target="/media/image4.png" Id="R295d11b600d14d26" /><Relationship Type="http://schemas.openxmlformats.org/officeDocument/2006/relationships/image" Target="/media/image5.png" Id="R94555922a29d4eae" /><Relationship Type="http://schemas.openxmlformats.org/officeDocument/2006/relationships/image" Target="/media/image6.png" Id="R94831f338c3f4741" /><Relationship Type="http://schemas.openxmlformats.org/officeDocument/2006/relationships/image" Target="/media/image7.png" Id="Rda26196d2d0940d0" /><Relationship Type="http://schemas.openxmlformats.org/officeDocument/2006/relationships/image" Target="/media/image8.png" Id="R975e6681b81d4e85" /><Relationship Type="http://schemas.openxmlformats.org/officeDocument/2006/relationships/image" Target="/media/image9.png" Id="Ra3f7a089b2ff4a23" /><Relationship Type="http://schemas.openxmlformats.org/officeDocument/2006/relationships/image" Target="/media/imagea.png" Id="R66d2eb44b76c4e41" /><Relationship Type="http://schemas.openxmlformats.org/officeDocument/2006/relationships/image" Target="/media/imageb.png" Id="R2db87b3288bc4e17" /><Relationship Type="http://schemas.openxmlformats.org/officeDocument/2006/relationships/image" Target="/media/imagec.png" Id="Rb8eb251cbb454321" /><Relationship Type="http://schemas.openxmlformats.org/officeDocument/2006/relationships/image" Target="/media/imaged.png" Id="Rdc1e7f671892453e" /><Relationship Type="http://schemas.openxmlformats.org/officeDocument/2006/relationships/hyperlink" Target="https://www.gold.org/goldhub/research/gold-inflation-hedge" TargetMode="External" Id="R0a7952e3d4c44cea" /></Relationships>
</file>

<file path=word/_rels/header.xml.rels>&#65279;<?xml version="1.0" encoding="utf-8"?><Relationships xmlns="http://schemas.openxmlformats.org/package/2006/relationships"><Relationship Type="http://schemas.openxmlformats.org/officeDocument/2006/relationships/image" Target="/media/image.png" Id="R37625f1da0914a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2025-07-06T18:46:31.0311039Z</dcterms:created>
  <dcterms:modified xsi:type="dcterms:W3CDTF">2025-07-14T15:30:42.1685803Z</dcterms:modified>
  <dc:creator>Ricardo Garcia Ramirez</dc:creator>
  <lastModifiedBy>Guest User</lastModifiedBy>
</coreProperties>
</file>