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0"/>
      </w:pPr>
    </w:p>
    <w:p>
      <w:r>
        <w:rPr>
          <w:rFonts w:ascii="Arial" w:hAnsi="Arial"/>
          <w:b/>
          <w:color w:val="00706A"/>
          <w:sz w:val="24"/>
        </w:rPr>
        <w:t>NEXO KLAR SPA</w:t>
      </w:r>
    </w:p>
    <w:p>
      <w:r>
        <w:rPr>
          <w:rFonts w:ascii="Arial" w:hAnsi="Arial"/>
          <w:b/>
          <w:color w:val="141A20"/>
          <w:sz w:val="58"/>
        </w:rPr>
        <w:t>Migración Histórica</w:t>
        <w:br/>
        <w:t>y Carga Inteligente</w:t>
      </w:r>
    </w:p>
    <w:p>
      <w:pPr>
        <w:spacing w:after="360"/>
      </w:pPr>
      <w:r>
        <w:rPr>
          <w:rFonts w:ascii="Arial" w:hAnsi="Arial"/>
          <w:color w:val="5D6B7A"/>
          <w:sz w:val="26"/>
        </w:rPr>
        <w:t>Propuesta profesional para incorporar cinco años de datos operacionales, documentos y evidencias sin detener la operación.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0706A"/>
                <w:sz w:val="18"/>
              </w:rPr>
              <w:t>Propuesta</w:t>
            </w:r>
          </w:p>
        </w:tc>
        <w:tc>
          <w:tcPr>
            <w:tcW w:type="dxa" w:w="7632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8"/>
              </w:rPr>
              <w:t>El cliente no necesita llegar ordenado. Nexo Klar recibe, protege, clasifica, valida y publica su información de forma gradual, segura y trazable.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FFFFFF"/>
            <w:tcBorders>
              <w:top w:val="single" w:sz="12" w:color="D9DCE8"/>
              <w:left w:val="single" w:sz="12" w:color="D9DCE8"/>
              <w:bottom w:val="single" w:sz="12" w:color="D9DCE8"/>
              <w:right w:val="single" w:sz="12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400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nexo_klar_migration_flo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00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hAnsi="Arial"/>
          <w:b/>
          <w:color w:val="141A20"/>
          <w:sz w:val="48"/>
        </w:rPr>
        <w:t>1. Objetivo y alcance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Qué resuelve este servicio</w:t>
      </w:r>
    </w:p>
    <w:p>
      <w:pPr>
        <w:spacing w:line="271" w:lineRule="auto" w:after="140"/>
      </w:pPr>
      <w:r>
        <w:rPr>
          <w:rFonts w:ascii="Arial" w:hAnsi="Arial"/>
          <w:color w:val="141A20"/>
          <w:sz w:val="20"/>
        </w:rPr>
        <w:t>La migración histórica permite transformar planillas, documentos, fotografías, correos y carpetas dispersas en información útil para Personas, Clientes, Contratos, Órdenes de Servicio, Activos, EPP, Vehículos, Terceros, Alertas, Auditoría y Reportes de Nexo Klar.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552"/>
      </w:tblGrid>
      <w:tr>
        <w:tc>
          <w:tcPr>
            <w:tcW w:type="dxa" w:w="2952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Información a recuperar</w:t>
            </w:r>
          </w:p>
        </w:tc>
        <w:tc>
          <w:tcPr>
            <w:tcW w:type="dxa" w:w="6552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 dentro de Nexo Klar</w:t>
            </w:r>
          </w:p>
        </w:tc>
      </w:tr>
      <w:tr>
        <w:trPr>
          <w:cantSplit/>
        </w:trPr>
        <w:tc>
          <w:tcPr>
            <w:tcW w:type="dxa" w:w="29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Personas y relación laboral</w:t>
            </w:r>
          </w:p>
        </w:tc>
        <w:tc>
          <w:tcPr>
            <w:tcW w:type="dxa" w:w="65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Nombre, RUT, contacto, dirección, cargo, tipo de trabajador, asignaciones e historial.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Documentos y cumplimiento</w:t>
            </w:r>
          </w:p>
        </w:tc>
        <w:tc>
          <w:tcPr>
            <w:tcW w:type="dxa" w:w="655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Contratos, anexos, identificación, cursos, exámenes, credenciales, F30/F30-1 y vencimientos.</w:t>
            </w:r>
          </w:p>
        </w:tc>
      </w:tr>
      <w:tr>
        <w:trPr>
          <w:cantSplit/>
        </w:trPr>
        <w:tc>
          <w:tcPr>
            <w:tcW w:type="dxa" w:w="29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Operación y servicios</w:t>
            </w:r>
          </w:p>
        </w:tc>
        <w:tc>
          <w:tcPr>
            <w:tcW w:type="dxa" w:w="65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Clientes, contratos, órdenes, turnos, actividades, libro de obra, incidentes y evidencia.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Recursos y activos</w:t>
            </w:r>
          </w:p>
        </w:tc>
        <w:tc>
          <w:tcPr>
            <w:tcW w:type="dxa" w:w="655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Vehículos, equipos, herramientas, inventario, EPP, bodega, entrega y devolución.</w:t>
            </w:r>
          </w:p>
        </w:tc>
      </w:tr>
      <w:tr>
        <w:trPr>
          <w:cantSplit/>
        </w:trPr>
        <w:tc>
          <w:tcPr>
            <w:tcW w:type="dxa" w:w="29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Historia consultable</w:t>
            </w:r>
          </w:p>
        </w:tc>
        <w:tc>
          <w:tcPr>
            <w:tcW w:type="dxa" w:w="65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Documentos originales, origen, año, entidad asociada, estado de revisión y bitácora.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0706A"/>
                <w:sz w:val="18"/>
              </w:rPr>
              <w:t>Resultado</w:t>
            </w:r>
          </w:p>
        </w:tc>
        <w:tc>
          <w:tcPr>
            <w:tcW w:type="dxa" w:w="7632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8"/>
              </w:rPr>
              <w:t>Operación activa lista primero; historia de cinco años disponible, buscable y recuperable de manera progresiva.</w:t>
            </w:r>
          </w:p>
        </w:tc>
      </w:tr>
    </w:tbl>
    <w:p>
      <w:pPr>
        <w:spacing w:after="20"/>
      </w:pPr>
    </w:p>
    <w:p>
      <w:pPr>
        <w:spacing w:before="200" w:after="100"/>
      </w:pPr>
      <w:r>
        <w:rPr>
          <w:rFonts w:ascii="Arial" w:hAnsi="Arial"/>
          <w:b/>
          <w:color w:val="141A20"/>
          <w:sz w:val="48"/>
        </w:rPr>
        <w:t>2. Modelo de migración recomendado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Activo primero, historia después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512"/>
        <w:gridCol w:w="4392"/>
        <w:gridCol w:w="2448"/>
      </w:tblGrid>
      <w:tr>
        <w:tc>
          <w:tcPr>
            <w:tcW w:type="dxa" w:w="1152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Ola</w:t>
            </w:r>
          </w:p>
        </w:tc>
        <w:tc>
          <w:tcPr>
            <w:tcW w:type="dxa" w:w="1512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4392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2448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1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Ola 0</w:t>
            </w:r>
          </w:p>
        </w:tc>
        <w:tc>
          <w:tcPr>
            <w:tcW w:type="dxa" w:w="151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Diagnóstico</w:t>
            </w:r>
          </w:p>
        </w:tc>
        <w:tc>
          <w:tcPr>
            <w:tcW w:type="dxa" w:w="439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Inventario de fuentes, muestra de calidad, volumen, riesgos, responsables y plan de migración.</w:t>
            </w:r>
          </w:p>
        </w:tc>
        <w:tc>
          <w:tcPr>
            <w:tcW w:type="dxa" w:w="2448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Alcance aprobado y presupuesto cerrado.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Ola 1</w:t>
            </w:r>
          </w:p>
        </w:tc>
        <w:tc>
          <w:tcPr>
            <w:tcW w:type="dxa" w:w="151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Crítica</w:t>
            </w:r>
          </w:p>
        </w:tc>
        <w:tc>
          <w:tcPr>
            <w:tcW w:type="dxa" w:w="439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Personas activas, documentos vigentes, clientes, contratos, órdenes activas, recursos y vencimientos.</w:t>
            </w:r>
          </w:p>
        </w:tc>
        <w:tc>
          <w:tcPr>
            <w:tcW w:type="dxa" w:w="2448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Empresa operando en Nexo Klar.</w:t>
            </w:r>
          </w:p>
        </w:tc>
      </w:tr>
      <w:tr>
        <w:trPr>
          <w:cantSplit/>
        </w:trPr>
        <w:tc>
          <w:tcPr>
            <w:tcW w:type="dxa" w:w="11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Ola 2</w:t>
            </w:r>
          </w:p>
        </w:tc>
        <w:tc>
          <w:tcPr>
            <w:tcW w:type="dxa" w:w="151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Operativa</w:t>
            </w:r>
          </w:p>
        </w:tc>
        <w:tc>
          <w:tcPr>
            <w:tcW w:type="dxa" w:w="439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Últimos 12–24 meses: EPP, trabajos, turnos, vehículos, incidentes, cursos y exámenes.</w:t>
            </w:r>
          </w:p>
        </w:tc>
        <w:tc>
          <w:tcPr>
            <w:tcW w:type="dxa" w:w="2448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Trazabilidad operativa reciente.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Ola 3</w:t>
            </w:r>
          </w:p>
        </w:tc>
        <w:tc>
          <w:tcPr>
            <w:tcW w:type="dxa" w:w="151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Histórica</w:t>
            </w:r>
          </w:p>
        </w:tc>
        <w:tc>
          <w:tcPr>
            <w:tcW w:type="dxa" w:w="439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Años restantes: respaldos, contratos cerrados, evidencia, informes y archivos antiguos.</w:t>
            </w:r>
          </w:p>
        </w:tc>
        <w:tc>
          <w:tcPr>
            <w:tcW w:type="dxa" w:w="2448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Archivo histórico indexado y consultable.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00"/>
      </w:pPr>
      <w:r>
        <w:rPr>
          <w:rFonts w:ascii="Arial" w:hAnsi="Arial"/>
          <w:b/>
          <w:color w:val="141A20"/>
          <w:sz w:val="48"/>
        </w:rPr>
        <w:t>3. Alternativas de carga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Una solución para cada nivel de orden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096"/>
        <w:gridCol w:w="2520"/>
        <w:gridCol w:w="2160"/>
      </w:tblGrid>
      <w:tr>
        <w:tc>
          <w:tcPr>
            <w:tcW w:type="dxa" w:w="1728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Alternativa</w:t>
            </w:r>
          </w:p>
        </w:tc>
        <w:tc>
          <w:tcPr>
            <w:tcW w:type="dxa" w:w="3096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Cómo funciona</w:t>
            </w:r>
          </w:p>
        </w:tc>
        <w:tc>
          <w:tcPr>
            <w:tcW w:type="dxa" w:w="2520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Cuándo usarla</w:t>
            </w:r>
          </w:p>
        </w:tc>
        <w:tc>
          <w:tcPr>
            <w:tcW w:type="dxa" w:w="2160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Ventaja</w:t>
            </w:r>
          </w:p>
        </w:tc>
      </w:tr>
      <w:tr>
        <w:trPr>
          <w:cantSplit/>
        </w:trPr>
        <w:tc>
          <w:tcPr>
            <w:tcW w:type="dxa" w:w="1728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Carga estructurada</w:t>
            </w:r>
          </w:p>
        </w:tc>
        <w:tc>
          <w:tcPr>
            <w:tcW w:type="dxa" w:w="3096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Mapeo de columnas desde Excel/CSV, validaciones y carga por lotes.</w:t>
            </w:r>
          </w:p>
        </w:tc>
        <w:tc>
          <w:tcPr>
            <w:tcW w:type="dxa" w:w="252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Datos tabulares relativamente ordenados.</w:t>
            </w:r>
          </w:p>
        </w:tc>
        <w:tc>
          <w:tcPr>
            <w:tcW w:type="dxa" w:w="216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Rápida y de menor costo.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Carga asistida</w:t>
            </w:r>
          </w:p>
        </w:tc>
        <w:tc>
          <w:tcPr>
            <w:tcW w:type="dxa" w:w="3096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Nexo Klar limpia, transforma, relaciona y valida la información junto al cliente.</w:t>
            </w:r>
          </w:p>
        </w:tc>
        <w:tc>
          <w:tcPr>
            <w:tcW w:type="dxa" w:w="2520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Planillas incompletas y archivos medianamente organizados.</w:t>
            </w:r>
          </w:p>
        </w:tc>
        <w:tc>
          <w:tcPr>
            <w:tcW w:type="dxa" w:w="2160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Reduce trabajo del cliente.</w:t>
            </w:r>
          </w:p>
        </w:tc>
      </w:tr>
      <w:tr>
        <w:trPr>
          <w:cantSplit/>
        </w:trPr>
        <w:tc>
          <w:tcPr>
            <w:tcW w:type="dxa" w:w="1728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Rescate documental</w:t>
            </w:r>
          </w:p>
        </w:tc>
        <w:tc>
          <w:tcPr>
            <w:tcW w:type="dxa" w:w="3096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Carpetas, PDFs, Word, fotos y correos pasan por OCR, clasificación y revisión humana.</w:t>
            </w:r>
          </w:p>
        </w:tc>
        <w:tc>
          <w:tcPr>
            <w:tcW w:type="dxa" w:w="252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Información dispersa o sin estructura.</w:t>
            </w:r>
          </w:p>
        </w:tc>
        <w:tc>
          <w:tcPr>
            <w:tcW w:type="dxa" w:w="216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Recupera evidencia sin exigir orden previo.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Migración por unidad</w:t>
            </w:r>
          </w:p>
        </w:tc>
        <w:tc>
          <w:tcPr>
            <w:tcW w:type="dxa" w:w="3096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Se migra cliente → contrato → orden de servicio → personas y recursos.</w:t>
            </w:r>
          </w:p>
        </w:tc>
        <w:tc>
          <w:tcPr>
            <w:tcW w:type="dxa" w:w="2520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Muchas operaciones, zonas o contratos.</w:t>
            </w:r>
          </w:p>
        </w:tc>
        <w:tc>
          <w:tcPr>
            <w:tcW w:type="dxa" w:w="2160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Genera valor desde la primera ola.</w:t>
            </w:r>
          </w:p>
        </w:tc>
      </w:tr>
      <w:tr>
        <w:trPr>
          <w:cantSplit/>
        </w:trPr>
        <w:tc>
          <w:tcPr>
            <w:tcW w:type="dxa" w:w="1728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Equipo dedicado</w:t>
            </w:r>
          </w:p>
        </w:tc>
        <w:tc>
          <w:tcPr>
            <w:tcW w:type="dxa" w:w="3096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Jefe de proyecto, analista de datos y analista documental por hitos.</w:t>
            </w:r>
          </w:p>
        </w:tc>
        <w:tc>
          <w:tcPr>
            <w:tcW w:type="dxa" w:w="252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Alta complejidad, cinco años de historia y volumen corporativo.</w:t>
            </w:r>
          </w:p>
        </w:tc>
        <w:tc>
          <w:tcPr>
            <w:tcW w:type="dxa" w:w="216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Gobierno, velocidad y control de calidad.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0706A"/>
                <w:sz w:val="18"/>
              </w:rPr>
              <w:t>Decisión</w:t>
            </w:r>
          </w:p>
        </w:tc>
        <w:tc>
          <w:tcPr>
            <w:tcW w:type="dxa" w:w="7632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8"/>
              </w:rPr>
              <w:t>Para cinco años de historia, la alternativa recomendada es Migración por Olas + Rescate Documental + Equipo Dedicado.</w:t>
            </w:r>
          </w:p>
        </w:tc>
      </w:tr>
    </w:tbl>
    <w:p>
      <w:pPr>
        <w:spacing w:after="20"/>
      </w:pPr>
    </w:p>
    <w:p>
      <w:pPr>
        <w:spacing w:before="200" w:after="100"/>
      </w:pPr>
      <w:r>
        <w:rPr>
          <w:rFonts w:ascii="Arial" w:hAnsi="Arial"/>
          <w:b/>
          <w:color w:val="141A20"/>
          <w:sz w:val="48"/>
        </w:rPr>
        <w:t>4. Tecnología para transformar información desordenada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Automatización con control humano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744"/>
        <w:gridCol w:w="3744"/>
      </w:tblGrid>
      <w:tr>
        <w:tc>
          <w:tcPr>
            <w:tcW w:type="dxa" w:w="2016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Tecnología</w:t>
            </w:r>
          </w:p>
        </w:tc>
        <w:tc>
          <w:tcPr>
            <w:tcW w:type="dxa" w:w="3744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3744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Uso concreto</w:t>
            </w:r>
          </w:p>
        </w:tc>
      </w:tr>
      <w:tr>
        <w:trPr>
          <w:cantSplit/>
        </w:trPr>
        <w:tc>
          <w:tcPr>
            <w:tcW w:type="dxa" w:w="2016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Portal seguro de carga</w:t>
            </w:r>
          </w:p>
        </w:tc>
        <w:tc>
          <w:tcPr>
            <w:tcW w:type="dxa" w:w="3744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Recibe lotes, carpetas ZIP, Excel, Word, PDF, fotos y enlaces cloud.</w:t>
            </w:r>
          </w:p>
        </w:tc>
        <w:tc>
          <w:tcPr>
            <w:tcW w:type="dxa" w:w="3744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El cliente entrega información sin enviarla por correo o WhatsApp.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OCR documental</w:t>
            </w:r>
          </w:p>
        </w:tc>
        <w:tc>
          <w:tcPr>
            <w:tcW w:type="dxa" w:w="3744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Extrae texto, fechas, tablas, nombres, RUT, emisor y campos clave.</w:t>
            </w:r>
          </w:p>
        </w:tc>
        <w:tc>
          <w:tcPr>
            <w:tcW w:type="dxa" w:w="3744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Clasificar contratos, exámenes, certificados, licencias y documentos de activos.</w:t>
            </w:r>
          </w:p>
        </w:tc>
      </w:tr>
      <w:tr>
        <w:trPr>
          <w:cantSplit/>
        </w:trPr>
        <w:tc>
          <w:tcPr>
            <w:tcW w:type="dxa" w:w="2016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Motor de clasificación</w:t>
            </w:r>
          </w:p>
        </w:tc>
        <w:tc>
          <w:tcPr>
            <w:tcW w:type="dxa" w:w="3744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Propone tipo documental y entidad: persona, contrato, vehículo, tercero o servicio.</w:t>
            </w:r>
          </w:p>
        </w:tc>
        <w:tc>
          <w:tcPr>
            <w:tcW w:type="dxa" w:w="3744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Reduce clasificación manual de miles de archivos.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Reglas de calidad</w:t>
            </w:r>
          </w:p>
        </w:tc>
        <w:tc>
          <w:tcPr>
            <w:tcW w:type="dxa" w:w="3744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Valida formato de RUT, fecha, duplicados, campos obligatorios y relación entre datos.</w:t>
            </w:r>
          </w:p>
        </w:tc>
        <w:tc>
          <w:tcPr>
            <w:tcW w:type="dxa" w:w="3744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Evita publicar registros incompletos o repetidos.</w:t>
            </w:r>
          </w:p>
        </w:tc>
      </w:tr>
      <w:tr>
        <w:trPr>
          <w:cantSplit/>
        </w:trPr>
        <w:tc>
          <w:tcPr>
            <w:tcW w:type="dxa" w:w="2016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Bandeja de excepciones</w:t>
            </w:r>
          </w:p>
        </w:tc>
        <w:tc>
          <w:tcPr>
            <w:tcW w:type="dxa" w:w="3744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Presenta solo casos dudosos, inconsistentes o sin relación clara.</w:t>
            </w:r>
          </w:p>
        </w:tc>
        <w:tc>
          <w:tcPr>
            <w:tcW w:type="dxa" w:w="3744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Revisión rápida de un analista o responsable del cliente.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Revisión humana</w:t>
            </w:r>
          </w:p>
        </w:tc>
        <w:tc>
          <w:tcPr>
            <w:tcW w:type="dxa" w:w="3744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Aprueba, corrige o rechaza sugerencias antes de publicar.</w:t>
            </w:r>
          </w:p>
        </w:tc>
        <w:tc>
          <w:tcPr>
            <w:tcW w:type="dxa" w:w="3744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Controla datos sensibles y documentación crítica.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00"/>
      </w:pPr>
      <w:r>
        <w:rPr>
          <w:rFonts w:ascii="Arial" w:hAnsi="Arial"/>
          <w:b/>
          <w:color w:val="141A20"/>
          <w:sz w:val="48"/>
        </w:rPr>
        <w:t>5. Flujo operativo y de seguridad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Cómo se procesa un lote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680"/>
        <w:gridCol w:w="3672"/>
      </w:tblGrid>
      <w:tr>
        <w:tc>
          <w:tcPr>
            <w:tcW w:type="dxa" w:w="1152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4680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Control obligatorio</w:t>
            </w:r>
          </w:p>
        </w:tc>
        <w:tc>
          <w:tcPr>
            <w:tcW w:type="dxa" w:w="3672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Salida</w:t>
            </w:r>
          </w:p>
        </w:tc>
      </w:tr>
      <w:tr>
        <w:trPr>
          <w:cantSplit/>
        </w:trPr>
        <w:tc>
          <w:tcPr>
            <w:tcW w:type="dxa" w:w="11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1. Recepción</w:t>
            </w:r>
          </w:p>
        </w:tc>
        <w:tc>
          <w:tcPr>
            <w:tcW w:type="dxa" w:w="468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Portal privado por empresa, inventario del lote y responsable de carga.</w:t>
            </w:r>
          </w:p>
        </w:tc>
        <w:tc>
          <w:tcPr>
            <w:tcW w:type="dxa" w:w="367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Lote identificado y trazable.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2. Cuarentena</w:t>
            </w:r>
          </w:p>
        </w:tc>
        <w:tc>
          <w:tcPr>
            <w:tcW w:type="dxa" w:w="4680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Antivirus, validación de formato, tamaño y tipo de archivo.</w:t>
            </w:r>
          </w:p>
        </w:tc>
        <w:tc>
          <w:tcPr>
            <w:tcW w:type="dxa" w:w="367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Archivos seguros para procesar.</w:t>
            </w:r>
          </w:p>
        </w:tc>
      </w:tr>
      <w:tr>
        <w:trPr>
          <w:cantSplit/>
        </w:trPr>
        <w:tc>
          <w:tcPr>
            <w:tcW w:type="dxa" w:w="11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3. Extracción</w:t>
            </w:r>
          </w:p>
        </w:tc>
        <w:tc>
          <w:tcPr>
            <w:tcW w:type="dxa" w:w="468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OCR, lectura de metadatos, RUT, nombres, fechas y texto.</w:t>
            </w:r>
          </w:p>
        </w:tc>
        <w:tc>
          <w:tcPr>
            <w:tcW w:type="dxa" w:w="367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Datos candidatos y score de confianza.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4. Normalización</w:t>
            </w:r>
          </w:p>
        </w:tc>
        <w:tc>
          <w:tcPr>
            <w:tcW w:type="dxa" w:w="4680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Mapeo de Excel, estandarización de teléfono, fecha, región, comuna y nombres.</w:t>
            </w:r>
          </w:p>
        </w:tc>
        <w:tc>
          <w:tcPr>
            <w:tcW w:type="dxa" w:w="367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Datos comparables y reutilizables.</w:t>
            </w:r>
          </w:p>
        </w:tc>
      </w:tr>
      <w:tr>
        <w:trPr>
          <w:cantSplit/>
        </w:trPr>
        <w:tc>
          <w:tcPr>
            <w:tcW w:type="dxa" w:w="11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5. Duplicados</w:t>
            </w:r>
          </w:p>
        </w:tc>
        <w:tc>
          <w:tcPr>
            <w:tcW w:type="dxa" w:w="468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Comparación por RUT, patente, contrato, correo, nombre y hash de archivo.</w:t>
            </w:r>
          </w:p>
        </w:tc>
        <w:tc>
          <w:tcPr>
            <w:tcW w:type="dxa" w:w="367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Registro nuevo, actualización o excepción.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6. Validación</w:t>
            </w:r>
          </w:p>
        </w:tc>
        <w:tc>
          <w:tcPr>
            <w:tcW w:type="dxa" w:w="4680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Reglas de negocio, matriz de requisitos y revisión humana.</w:t>
            </w:r>
          </w:p>
        </w:tc>
        <w:tc>
          <w:tcPr>
            <w:tcW w:type="dxa" w:w="367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Aprobado, observado, rechazado o pendiente.</w:t>
            </w:r>
          </w:p>
        </w:tc>
      </w:tr>
      <w:tr>
        <w:trPr>
          <w:cantSplit/>
        </w:trPr>
        <w:tc>
          <w:tcPr>
            <w:tcW w:type="dxa" w:w="11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7. Publicación</w:t>
            </w:r>
          </w:p>
        </w:tc>
        <w:tc>
          <w:tcPr>
            <w:tcW w:type="dxa" w:w="468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Asociación con entidad correcta y bitácora de lote.</w:t>
            </w:r>
          </w:p>
        </w:tc>
        <w:tc>
          <w:tcPr>
            <w:tcW w:type="dxa" w:w="367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Datos disponibles en módulos y reportes.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Todo archivo conserva su original, origen, fecha de ingreso, lote y usuario responsable.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Los datos se separan por empresa; un cliente nunca visualiza ni procesa información de otra organización.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Cada lote debe poder revertirse antes de su aceptación definitiva y quedar respaldado para auditoría.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0706A"/>
                <w:sz w:val="18"/>
              </w:rPr>
              <w:t>Principio</w:t>
            </w:r>
          </w:p>
        </w:tc>
        <w:tc>
          <w:tcPr>
            <w:tcW w:type="dxa" w:w="7632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8"/>
              </w:rPr>
              <w:t>La automatización acelera la lectura y ordenamiento; la publicación de información sensible requiere confirmación humana.</w:t>
            </w:r>
          </w:p>
        </w:tc>
      </w:tr>
    </w:tbl>
    <w:p>
      <w:pPr>
        <w:spacing w:after="20"/>
      </w:pPr>
    </w:p>
    <w:p>
      <w:pPr>
        <w:spacing w:before="200" w:after="100"/>
      </w:pPr>
      <w:r>
        <w:rPr>
          <w:rFonts w:ascii="Arial" w:hAnsi="Arial"/>
          <w:b/>
          <w:color w:val="141A20"/>
          <w:sz w:val="48"/>
        </w:rPr>
        <w:t>6. Experiencia para el cliente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Carga simple, controlada y visible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480"/>
      </w:tblGrid>
      <w:tr>
        <w:tc>
          <w:tcPr>
            <w:tcW w:type="dxa" w:w="3024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Pantalla propuesta</w:t>
            </w:r>
          </w:p>
        </w:tc>
        <w:tc>
          <w:tcPr>
            <w:tcW w:type="dxa" w:w="6480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Función para el cliente</w:t>
            </w:r>
          </w:p>
        </w:tc>
      </w:tr>
      <w:tr>
        <w:trPr>
          <w:cantSplit/>
        </w:trPr>
        <w:tc>
          <w:tcPr>
            <w:tcW w:type="dxa" w:w="3024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Centro de migración</w:t>
            </w:r>
          </w:p>
        </w:tc>
        <w:tc>
          <w:tcPr>
            <w:tcW w:type="dxa" w:w="648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Ver avance por lote, fuente, año, módulo, responsable, calidad y estado.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Asistente de Excel</w:t>
            </w:r>
          </w:p>
        </w:tc>
        <w:tc>
          <w:tcPr>
            <w:tcW w:type="dxa" w:w="6480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Relacionar columnas originales con campos Nexo Klar y guardar una plantilla reutilizable.</w:t>
            </w:r>
          </w:p>
        </w:tc>
      </w:tr>
      <w:tr>
        <w:trPr>
          <w:cantSplit/>
        </w:trPr>
        <w:tc>
          <w:tcPr>
            <w:tcW w:type="dxa" w:w="3024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Carga masiva de documentos</w:t>
            </w:r>
          </w:p>
        </w:tc>
        <w:tc>
          <w:tcPr>
            <w:tcW w:type="dxa" w:w="648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Arrastrar carpetas o ZIP, elegir contexto y dejar que el sistema proponga clasificación.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Bandeja de revisión</w:t>
            </w:r>
          </w:p>
        </w:tc>
        <w:tc>
          <w:tcPr>
            <w:tcW w:type="dxa" w:w="6480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Confirmar o corregir solo excepciones; no revisar documentos ya reconocidos con alta confianza.</w:t>
            </w:r>
          </w:p>
        </w:tc>
      </w:tr>
      <w:tr>
        <w:trPr>
          <w:cantSplit/>
        </w:trPr>
        <w:tc>
          <w:tcPr>
            <w:tcW w:type="dxa" w:w="3024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Informe de calidad</w:t>
            </w:r>
          </w:p>
        </w:tc>
        <w:tc>
          <w:tcPr>
            <w:tcW w:type="dxa" w:w="648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Ver duplicados, faltantes, archivos ilegibles, datos sin relación y campos incompletos.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Aprobación de lote</w:t>
            </w:r>
          </w:p>
        </w:tc>
        <w:tc>
          <w:tcPr>
            <w:tcW w:type="dxa" w:w="6480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Publicar un lote completo después de control interno y validación del cliente.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00"/>
      </w:pPr>
      <w:r>
        <w:rPr>
          <w:rFonts w:ascii="Arial" w:hAnsi="Arial"/>
          <w:b/>
          <w:color w:val="141A20"/>
          <w:sz w:val="48"/>
        </w:rPr>
        <w:t>7. Paquetes comerciales sugeridos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Servicios claros y rentables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112"/>
        <w:gridCol w:w="2160"/>
      </w:tblGrid>
      <w:tr>
        <w:tc>
          <w:tcPr>
            <w:tcW w:type="dxa" w:w="2232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Servicio</w:t>
            </w:r>
          </w:p>
        </w:tc>
        <w:tc>
          <w:tcPr>
            <w:tcW w:type="dxa" w:w="5112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Incluye</w:t>
            </w:r>
          </w:p>
        </w:tc>
        <w:tc>
          <w:tcPr>
            <w:tcW w:type="dxa" w:w="2160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Precio referencial neto CLP</w:t>
            </w:r>
          </w:p>
        </w:tc>
      </w:tr>
      <w:tr>
        <w:trPr>
          <w:cantSplit/>
        </w:trPr>
        <w:tc>
          <w:tcPr>
            <w:tcW w:type="dxa" w:w="223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Diagnóstico de migración</w:t>
            </w:r>
          </w:p>
        </w:tc>
        <w:tc>
          <w:tcPr>
            <w:tcW w:type="dxa" w:w="511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Muestra de fuentes, inventario, medición de volumen, plan por olas y presupuesto cerrado.</w:t>
            </w:r>
          </w:p>
        </w:tc>
        <w:tc>
          <w:tcPr>
            <w:tcW w:type="dxa" w:w="216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$750.000 a $1.500.000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Inicio guiado</w:t>
            </w:r>
          </w:p>
        </w:tc>
        <w:tc>
          <w:tcPr>
            <w:tcW w:type="dxa" w:w="511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Plantillas, capacitación, carga de prueba y control de primer lote.</w:t>
            </w:r>
          </w:p>
        </w:tc>
        <w:tc>
          <w:tcPr>
            <w:tcW w:type="dxa" w:w="2160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Incluido anual o $150.000</w:t>
            </w:r>
          </w:p>
        </w:tc>
      </w:tr>
      <w:tr>
        <w:trPr>
          <w:cantSplit/>
        </w:trPr>
        <w:tc>
          <w:tcPr>
            <w:tcW w:type="dxa" w:w="223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Migración asistida</w:t>
            </w:r>
          </w:p>
        </w:tc>
        <w:tc>
          <w:tcPr>
            <w:tcW w:type="dxa" w:w="511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Hasta 50 personas, 2 clientes, 3 contratos/órdenes y documentos vigentes.</w:t>
            </w:r>
          </w:p>
        </w:tc>
        <w:tc>
          <w:tcPr>
            <w:tcW w:type="dxa" w:w="216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$490.000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Migración operacional</w:t>
            </w:r>
          </w:p>
        </w:tc>
        <w:tc>
          <w:tcPr>
            <w:tcW w:type="dxa" w:w="511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Hasta 150 personas, 5 clientes, 10 contratos/órdenes, recursos, documentos y QA.</w:t>
            </w:r>
          </w:p>
        </w:tc>
        <w:tc>
          <w:tcPr>
            <w:tcW w:type="dxa" w:w="2160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$990.000</w:t>
            </w:r>
          </w:p>
        </w:tc>
      </w:tr>
      <w:tr>
        <w:trPr>
          <w:cantSplit/>
        </w:trPr>
        <w:tc>
          <w:tcPr>
            <w:tcW w:type="dxa" w:w="223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Rescate histórico</w:t>
            </w:r>
          </w:p>
        </w:tc>
        <w:tc>
          <w:tcPr>
            <w:tcW w:type="dxa" w:w="511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OCR, clasificación, indexación, depuración, carga progresiva y control de calidad.</w:t>
            </w:r>
          </w:p>
        </w:tc>
        <w:tc>
          <w:tcPr>
            <w:tcW w:type="dxa" w:w="216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Desde $2.500.000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Migración corporativa 5 años</w:t>
            </w:r>
          </w:p>
        </w:tc>
        <w:tc>
          <w:tcPr>
            <w:tcW w:type="dxa" w:w="511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Equipo dedicado, datos maestros, documentos, recursos, revisión, publicación y capacitación.</w:t>
            </w:r>
          </w:p>
        </w:tc>
        <w:tc>
          <w:tcPr>
            <w:tcW w:type="dxa" w:w="2160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Desde $8.000.000 a $20.000.000+</w:t>
            </w:r>
          </w:p>
        </w:tc>
      </w:tr>
    </w:tbl>
    <w:p>
      <w:pPr>
        <w:spacing w:after="40"/>
      </w:pPr>
    </w:p>
    <w:p>
      <w:pPr>
        <w:spacing w:line="271" w:lineRule="auto" w:after="140"/>
      </w:pPr>
      <w:r>
        <w:rPr>
          <w:rFonts w:ascii="Arial" w:hAnsi="Arial"/>
          <w:color w:val="141A20"/>
          <w:sz w:val="20"/>
        </w:rPr>
        <w:t>El precio final se calcula por volumen real: personas, archivos, años, formatos, calidad de origen, documentos sensibles, necesidad de OCR, revisión humana, integraciones y velocidad requerida. No se recomienda prometer migración total gratuita.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0706A"/>
                <w:sz w:val="18"/>
              </w:rPr>
              <w:t>Oferta de cierre</w:t>
            </w:r>
          </w:p>
        </w:tc>
        <w:tc>
          <w:tcPr>
            <w:tcW w:type="dxa" w:w="7632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8"/>
              </w:rPr>
              <w:t>“Comenzamos con su operación activa y recuperamos su historia por olas. Usted no necesita llegar ordenado para empezar.”</w:t>
            </w:r>
          </w:p>
        </w:tc>
      </w:tr>
    </w:tbl>
    <w:p>
      <w:pPr>
        <w:spacing w:after="20"/>
      </w:pPr>
    </w:p>
    <w:p>
      <w:pPr>
        <w:spacing w:before="200" w:after="100"/>
      </w:pPr>
      <w:r>
        <w:rPr>
          <w:rFonts w:ascii="Arial" w:hAnsi="Arial"/>
          <w:b/>
          <w:color w:val="141A20"/>
          <w:sz w:val="48"/>
        </w:rPr>
        <w:t>8. Gobierno del proyecto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Responsabilidades y aceptación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Nexo Klar</w:t>
            </w:r>
          </w:p>
        </w:tc>
        <w:tc>
          <w:tcPr>
            <w:tcW w:type="dxa" w:w="4752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Cliente</w:t>
            </w:r>
          </w:p>
        </w:tc>
      </w:tr>
      <w:tr>
        <w:trPr>
          <w:cantSplit/>
        </w:trPr>
        <w:tc>
          <w:tcPr>
            <w:tcW w:type="dxa" w:w="47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Define modelo de datos, seguridad, plantillas, reglas, lotes, control de calidad, informe de errores y publicación.</w:t>
            </w:r>
          </w:p>
        </w:tc>
        <w:tc>
          <w:tcPr>
            <w:tcW w:type="dxa" w:w="47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Entrega fuentes autorizadas, designa responsable, valida reglas y aprueba lotes antes de producción.</w:t>
            </w:r>
          </w:p>
        </w:tc>
      </w:tr>
      <w:tr>
        <w:trPr>
          <w:cantSplit/>
        </w:trPr>
        <w:tc>
          <w:tcPr>
            <w:tcW w:type="dxa" w:w="475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Protege originales, mantiene bitácora, administra excepciones y propone mejoras de calidad.</w:t>
            </w:r>
          </w:p>
        </w:tc>
        <w:tc>
          <w:tcPr>
            <w:tcW w:type="dxa" w:w="4752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Aclara datos ambiguos, prioriza la información crítica y confirma relación de documentos sensibles.</w:t>
            </w:r>
          </w:p>
        </w:tc>
      </w:tr>
      <w:tr>
        <w:trPr>
          <w:cantSplit/>
        </w:trPr>
        <w:tc>
          <w:tcPr>
            <w:tcW w:type="dxa" w:w="47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Entrega tablero semanal: recibidos, procesados, aprobados, observados, duplicados y pendientes.</w:t>
            </w:r>
          </w:p>
        </w:tc>
        <w:tc>
          <w:tcPr>
            <w:tcW w:type="dxa" w:w="4752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Participa en revisión semanal y acepta cada hito de migración.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Hito 1: diagnóstico y alcance aprobado.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Hito 2: datos maestros y operación activa publicados.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Hito 3: historia operativa reciente validada.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Hito 4: archivo histórico indexado y proyecto cerrado.</w:t>
      </w:r>
    </w:p>
    <w:p>
      <w:pPr>
        <w:spacing w:before="200" w:after="100"/>
      </w:pPr>
      <w:r>
        <w:rPr>
          <w:rFonts w:ascii="Arial" w:hAnsi="Arial"/>
          <w:b/>
          <w:color w:val="141A20"/>
          <w:sz w:val="48"/>
        </w:rPr>
        <w:t>9. Roadmap técnico recomendado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Implementación progresiva sin sobreprometer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680"/>
        <w:gridCol w:w="3528"/>
      </w:tblGrid>
      <w:tr>
        <w:tc>
          <w:tcPr>
            <w:tcW w:type="dxa" w:w="1296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4680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Capacidad</w:t>
            </w:r>
          </w:p>
        </w:tc>
        <w:tc>
          <w:tcPr>
            <w:tcW w:type="dxa" w:w="3528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Estado recomendado</w:t>
            </w:r>
          </w:p>
        </w:tc>
      </w:tr>
      <w:tr>
        <w:trPr>
          <w:cantSplit/>
        </w:trPr>
        <w:tc>
          <w:tcPr>
            <w:tcW w:type="dxa" w:w="1296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Fase 1</w:t>
            </w:r>
          </w:p>
        </w:tc>
        <w:tc>
          <w:tcPr>
            <w:tcW w:type="dxa" w:w="468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Plantillas CSV, carga por lote, validación, deduplicación, almacenamiento privado y bitácora.</w:t>
            </w:r>
          </w:p>
        </w:tc>
        <w:tc>
          <w:tcPr>
            <w:tcW w:type="dxa" w:w="3528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Necesaria antes de vender migración administrada.</w:t>
            </w:r>
          </w:p>
        </w:tc>
      </w:tr>
      <w:tr>
        <w:trPr>
          <w:cantSplit/>
        </w:trPr>
        <w:tc>
          <w:tcPr>
            <w:tcW w:type="dxa" w:w="1296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Fase 2</w:t>
            </w:r>
          </w:p>
        </w:tc>
        <w:tc>
          <w:tcPr>
            <w:tcW w:type="dxa" w:w="4680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Portal de carga, bandeja de excepciones, informes de calidad y publicación controlada.</w:t>
            </w:r>
          </w:p>
        </w:tc>
        <w:tc>
          <w:tcPr>
            <w:tcW w:type="dxa" w:w="3528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Prioridad alta para experiencia de cliente.</w:t>
            </w:r>
          </w:p>
        </w:tc>
      </w:tr>
      <w:tr>
        <w:trPr>
          <w:cantSplit/>
        </w:trPr>
        <w:tc>
          <w:tcPr>
            <w:tcW w:type="dxa" w:w="1296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Fase 3</w:t>
            </w:r>
          </w:p>
        </w:tc>
        <w:tc>
          <w:tcPr>
            <w:tcW w:type="dxa" w:w="468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OCR para PDFs e imágenes, detección de fechas, clasificación por tipo y score de confianza.</w:t>
            </w:r>
          </w:p>
        </w:tc>
        <w:tc>
          <w:tcPr>
            <w:tcW w:type="dxa" w:w="3528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Activar mediante AWS Textract u otro proveedor.</w:t>
            </w:r>
          </w:p>
        </w:tc>
      </w:tr>
      <w:tr>
        <w:trPr>
          <w:cantSplit/>
        </w:trPr>
        <w:tc>
          <w:tcPr>
            <w:tcW w:type="dxa" w:w="1296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Fase 4</w:t>
            </w:r>
          </w:p>
        </w:tc>
        <w:tc>
          <w:tcPr>
            <w:tcW w:type="dxa" w:w="4680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Clasificadores específicos de Nexo Klar, validación de emisor, QR, firma y matriz de requisitos.</w:t>
            </w:r>
          </w:p>
        </w:tc>
        <w:tc>
          <w:tcPr>
            <w:tcW w:type="dxa" w:w="3528"/>
            <w:shd w:fill="FFFFFF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Desarrollar con datos reales y validación humana.</w:t>
            </w:r>
          </w:p>
        </w:tc>
      </w:tr>
      <w:tr>
        <w:trPr>
          <w:cantSplit/>
        </w:trPr>
        <w:tc>
          <w:tcPr>
            <w:tcW w:type="dxa" w:w="1296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Fase 5</w:t>
            </w:r>
          </w:p>
        </w:tc>
        <w:tc>
          <w:tcPr>
            <w:tcW w:type="dxa" w:w="4680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Conectores a correo, Drive, OneDrive, SharePoint, ERP, firma, WhatsApp y acreditación externa.</w:t>
            </w:r>
          </w:p>
        </w:tc>
        <w:tc>
          <w:tcPr>
            <w:tcW w:type="dxa" w:w="3528"/>
            <w:shd w:fill="FBF9F5"/>
            <w:tcBorders>
              <w:top w:val="single" w:sz="8" w:color="D9DCE8"/>
              <w:left w:val="single" w:sz="8" w:color="D9DCE8"/>
              <w:bottom w:val="single" w:sz="8" w:color="D9DCE8"/>
              <w:right w:val="single" w:sz="8" w:color="D9DC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Cotizar por alcance y proveedor.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0706A"/>
                <w:sz w:val="18"/>
              </w:rPr>
              <w:t>Tecnología</w:t>
            </w:r>
          </w:p>
        </w:tc>
        <w:tc>
          <w:tcPr>
            <w:tcW w:type="dxa" w:w="7632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8"/>
              </w:rPr>
              <w:t>Para AWS, se recomienda S3 privado con enlaces temporales de carga, análisis OCR con Textract, procesamiento por colas y servicios de validación; cada tenant mantiene aislamiento lógico y auditoría.</w:t>
            </w:r>
          </w:p>
        </w:tc>
      </w:tr>
    </w:tbl>
    <w:p>
      <w:pPr>
        <w:spacing w:after="20"/>
      </w:pPr>
    </w:p>
    <w:p>
      <w:pPr>
        <w:spacing w:before="200" w:after="100"/>
      </w:pPr>
      <w:r>
        <w:rPr>
          <w:rFonts w:ascii="Arial" w:hAnsi="Arial"/>
          <w:b/>
          <w:color w:val="141A20"/>
          <w:sz w:val="48"/>
        </w:rPr>
        <w:t>10. Referencias y propuesta de valor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Cómo comunicarlo</w:t>
      </w:r>
    </w:p>
    <w:p>
      <w:pPr>
        <w:spacing w:line="271" w:lineRule="auto" w:after="140"/>
      </w:pPr>
      <w:r>
        <w:rPr>
          <w:rFonts w:ascii="Arial" w:hAnsi="Arial"/>
          <w:color w:val="141A20"/>
          <w:sz w:val="20"/>
        </w:rPr>
        <w:t>AWS documenta el uso de enlaces temporales de S3 para cargas sin exponer credenciales y mecanismos de integridad. Amazon Textract ofrece OCR, extracción de formularios, tablas y scores de confianza; Azure Document Intelligence y Google Document AI son alternativas equivalentes según el entorno cloud del cliente.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AWS S3 Presigned URLs: carga temporal y controlada de archivos.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Amazon Textract: OCR, formularios, tablas, extracción de información y niveles de confianza.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Azure Document Intelligence y Google Document AI: alternativas para OCR, clasificación y extracción de campos.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AWS Prescriptive Guidance: diagnóstico, priorización, validación, migración por olas y gobierno del proceso.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00706A"/>
                <w:sz w:val="18"/>
              </w:rPr>
              <w:t>Mensaje comercial final</w:t>
            </w:r>
          </w:p>
        </w:tc>
        <w:tc>
          <w:tcPr>
            <w:tcW w:type="dxa" w:w="7632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41A20"/>
                <w:sz w:val="18"/>
              </w:rPr>
              <w:t>Nexo Klar transforma historia dispersa en operación visible. Protegemos los originales, ordenamos los datos, validamos la calidad y entregamos una plataforma lista para controlar el presente y responder por el pasado.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D6B7A"/>
        <w:sz w:val="15"/>
      </w:rPr>
      <w:t>Documento comercial y técnico ·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D6B7A"/>
        <w:sz w:val="15"/>
      </w:rPr>
      <w:t>NEXO KLAR SPA · MIGRACIÓN Y CARGA INTELIGENTE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