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80"/>
      </w:pPr>
      <w:r>
        <w:rPr>
          <w:rFonts w:ascii="Manrope" w:hAnsi="Manrope" w:eastAsia="Manrope"/>
          <w:b/>
          <w:color w:val="00706A"/>
          <w:sz w:val="30"/>
        </w:rPr>
        <w:t>NEXO KLAR</w:t>
      </w:r>
    </w:p>
    <w:p>
      <w:pPr>
        <w:spacing w:after="140"/>
      </w:pPr>
      <w:r>
        <w:rPr>
          <w:rFonts w:ascii="Manrope" w:hAnsi="Manrope" w:eastAsia="Manrope"/>
          <w:b/>
          <w:color w:val="1A1A5E"/>
          <w:sz w:val="62"/>
        </w:rPr>
        <w:t>Propuesta de</w:t>
        <w:br/>
        <w:t>planes SaaS</w:t>
      </w:r>
    </w:p>
    <w:p>
      <w:pPr>
        <w:spacing w:after="240" w:line="276" w:lineRule="auto"/>
      </w:pPr>
      <w:r>
        <w:rPr>
          <w:rFonts w:ascii="Manrope" w:hAnsi="Manrope" w:eastAsia="Manrope"/>
          <w:b w:val="0"/>
          <w:color w:val="5D6B7A"/>
          <w:sz w:val="20"/>
        </w:rPr>
        <w:t>Una oferta clara y escalable para ordenar personas, servicios, cumplimiento, recursos y decisiones en una única plataforma.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6F2EB"/>
            <w:tcBorders>
              <w:top w:val="single" w:sz="8" w:color="BFE1D1"/>
              <w:left w:val="single" w:sz="8" w:color="BFE1D1"/>
              <w:bottom w:val="single" w:sz="8" w:color="BFE1D1"/>
              <w:right w:val="single" w:sz="8" w:color="BFE1D1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Manrope" w:hAnsi="Manrope" w:eastAsia="Manrope"/>
                <w:b/>
                <w:color w:val="00706A"/>
                <w:sz w:val="17"/>
              </w:rPr>
              <w:t>PROPUESTA COMERCIAL</w:t>
            </w:r>
          </w:p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La visibilidad del menú se adapta al plan contratado: el cliente ve solo las herramientas que necesita para operar, reduciendo complejidad y acelerando la adopción.</w:t>
            </w:r>
          </w:p>
        </w:tc>
      </w:tr>
    </w:tbl>
    <w:p>
      <w:pPr>
        <w:spacing w:after="20"/>
      </w:pPr>
    </w:p>
    <w:p>
      <w:pPr>
        <w:spacing w:after="0" w:line="276" w:lineRule="auto"/>
      </w:pPr>
      <w:r>
        <w:rPr>
          <w:rFonts w:ascii="Manrope" w:hAnsi="Manrope" w:eastAsia="Manrope"/>
          <w:b w:val="0"/>
          <w:color w:val="5D6B7A"/>
          <w:sz w:val="20"/>
        </w:rPr>
        <w:t>Fecha de emisión: 10/08/2026 · Valores comerciales, usuarios incluidos e integraciones se definen en la cotización particular de cada cliente.</w:t>
      </w:r>
    </w:p>
    <w:p>
      <w:r>
        <w:br w:type="page"/>
      </w:r>
    </w:p>
    <w:p>
      <w:pPr>
        <w:spacing w:before="120" w:after="120"/>
      </w:pPr>
      <w:r>
        <w:rPr>
          <w:rFonts w:ascii="Manrope" w:hAnsi="Manrope" w:eastAsia="Manrope"/>
          <w:b/>
          <w:color w:val="1A1A5E"/>
          <w:sz w:val="52"/>
        </w:rPr>
        <w:t>Una oferta simple de entender</w:t>
      </w:r>
    </w:p>
    <w:p>
      <w:pPr>
        <w:spacing w:after="320"/>
      </w:pPr>
      <w:r>
        <w:rPr>
          <w:rFonts w:ascii="Manrope" w:hAnsi="Manrope" w:eastAsia="Manrope"/>
          <w:b w:val="0"/>
          <w:color w:val="5D6B7A"/>
          <w:sz w:val="22"/>
        </w:rPr>
        <w:t>Tres niveles de adopción para acompañar el crecimiento operacional de cada empresa.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650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shd w:fill="2A2A8C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2000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shd w:fill="2A2A8C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/>
                <w:color w:val="FFFFFF"/>
                <w:sz w:val="16"/>
              </w:rPr>
              <w:t>Nombre comercial</w:t>
            </w:r>
          </w:p>
        </w:tc>
        <w:tc>
          <w:tcPr>
            <w:tcW w:type="dxa" w:w="2250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shd w:fill="2A2A8C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/>
                <w:color w:val="FFFFFF"/>
                <w:sz w:val="16"/>
              </w:rPr>
              <w:t>Enfoque</w:t>
            </w:r>
          </w:p>
        </w:tc>
        <w:tc>
          <w:tcPr>
            <w:tcW w:type="dxa" w:w="3650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shd w:fill="2A2A8C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/>
                <w:color w:val="FFFFFF"/>
                <w:sz w:val="16"/>
              </w:rPr>
              <w:t>Cliente objetivo</w:t>
            </w:r>
          </w:p>
        </w:tc>
      </w:tr>
      <w:tr>
        <w:tc>
          <w:tcPr>
            <w:tcW w:type="dxa" w:w="65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1</w:t>
            </w:r>
          </w:p>
        </w:tc>
        <w:tc>
          <w:tcPr>
            <w:tcW w:type="dxa" w:w="20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Nexo Klar Esencial</w:t>
            </w:r>
          </w:p>
        </w:tc>
        <w:tc>
          <w:tcPr>
            <w:tcW w:type="dxa" w:w="225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Orden y cumplimiento base.</w:t>
            </w:r>
          </w:p>
        </w:tc>
        <w:tc>
          <w:tcPr>
            <w:tcW w:type="dxa" w:w="365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Empresas que comienzan a centralizar personas, contratos, documentos y alertas.</w:t>
            </w:r>
          </w:p>
        </w:tc>
      </w:tr>
      <w:tr>
        <w:tc>
          <w:tcPr>
            <w:tcW w:type="dxa" w:w="65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2</w:t>
            </w:r>
          </w:p>
        </w:tc>
        <w:tc>
          <w:tcPr>
            <w:tcW w:type="dxa" w:w="20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Nexo Klar Operación</w:t>
            </w:r>
          </w:p>
        </w:tc>
        <w:tc>
          <w:tcPr>
            <w:tcW w:type="dxa" w:w="225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Coordinación diaria en terreno.</w:t>
            </w:r>
          </w:p>
        </w:tc>
        <w:tc>
          <w:tcPr>
            <w:tcW w:type="dxa" w:w="365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Empresas con órdenes activas, equipos, recursos, terceros y personal distribuido.</w:t>
            </w:r>
          </w:p>
        </w:tc>
      </w:tr>
      <w:tr>
        <w:tc>
          <w:tcPr>
            <w:tcW w:type="dxa" w:w="65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3</w:t>
            </w:r>
          </w:p>
        </w:tc>
        <w:tc>
          <w:tcPr>
            <w:tcW w:type="dxa" w:w="20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Nexo Klar Integral</w:t>
            </w:r>
          </w:p>
        </w:tc>
        <w:tc>
          <w:tcPr>
            <w:tcW w:type="dxa" w:w="225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Control, decisión y escalabilidad.</w:t>
            </w:r>
          </w:p>
        </w:tc>
        <w:tc>
          <w:tcPr>
            <w:tcW w:type="dxa" w:w="365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Empresas con múltiples áreas, clientes, contratos y necesidades de gestión avanzada.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Manrope" w:hAnsi="Manrope" w:eastAsia="Manrope"/>
          <w:b/>
          <w:color w:val="2A2A8C"/>
          <w:sz w:val="32"/>
        </w:rPr>
        <w:t>Cómo se presenta al cliente</w:t>
      </w:r>
    </w:p>
    <w:p>
      <w:pPr>
        <w:pStyle w:val="ListBullet"/>
        <w:spacing w:after="40" w:line="259" w:lineRule="auto"/>
      </w:pPr>
      <w:r>
        <w:rPr>
          <w:rFonts w:ascii="Manrope" w:hAnsi="Manrope" w:eastAsia="Manrope"/>
          <w:b w:val="0"/>
          <w:color w:val="5D6B7A"/>
          <w:sz w:val="18"/>
        </w:rPr>
        <w:t>Esencial ordena la información crítica y evita vencimientos o faltantes.</w:t>
      </w:r>
    </w:p>
    <w:p>
      <w:pPr>
        <w:pStyle w:val="ListBullet"/>
        <w:spacing w:after="40" w:line="259" w:lineRule="auto"/>
      </w:pPr>
      <w:r>
        <w:rPr>
          <w:rFonts w:ascii="Manrope" w:hAnsi="Manrope" w:eastAsia="Manrope"/>
          <w:b w:val="0"/>
          <w:color w:val="5D6B7A"/>
          <w:sz w:val="18"/>
        </w:rPr>
        <w:t>Operación conecta personas, recursos, terceros y órdenes de servicio para ejecutar mejor.</w:t>
      </w:r>
    </w:p>
    <w:p>
      <w:pPr>
        <w:pStyle w:val="ListBullet"/>
        <w:spacing w:after="40" w:line="259" w:lineRule="auto"/>
      </w:pPr>
      <w:r>
        <w:rPr>
          <w:rFonts w:ascii="Manrope" w:hAnsi="Manrope" w:eastAsia="Manrope"/>
          <w:b w:val="0"/>
          <w:color w:val="5D6B7A"/>
          <w:sz w:val="18"/>
        </w:rPr>
        <w:t>Integral entrega una visión ejecutiva, parámetros avanzados e integraciones para escalar.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6F2EB"/>
            <w:tcBorders>
              <w:top w:val="single" w:sz="8" w:color="BFE1D1"/>
              <w:left w:val="single" w:sz="8" w:color="BFE1D1"/>
              <w:bottom w:val="single" w:sz="8" w:color="BFE1D1"/>
              <w:right w:val="single" w:sz="8" w:color="BFE1D1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Manrope" w:hAnsi="Manrope" w:eastAsia="Manrope"/>
                <w:b/>
                <w:color w:val="C77700"/>
                <w:sz w:val="17"/>
              </w:rPr>
              <w:t>SERVICIOS ADICIONALES</w:t>
            </w:r>
          </w:p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Libro de obra digital y Prospectos y oportunidades se ofrecen como complementos activables en cualquiera de los tres planes.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120"/>
      </w:pPr>
      <w:r>
        <w:rPr>
          <w:rFonts w:ascii="Manrope" w:hAnsi="Manrope" w:eastAsia="Manrope"/>
          <w:b/>
          <w:color w:val="1A1A5E"/>
          <w:sz w:val="52"/>
        </w:rPr>
        <w:t>Plan 1 · Nexo Klar Esencial</w:t>
      </w:r>
    </w:p>
    <w:p>
      <w:pPr>
        <w:spacing w:after="320"/>
      </w:pPr>
      <w:r>
        <w:rPr>
          <w:rFonts w:ascii="Manrope" w:hAnsi="Manrope" w:eastAsia="Manrope"/>
          <w:b w:val="0"/>
          <w:color w:val="5D6B7A"/>
          <w:sz w:val="22"/>
        </w:rPr>
        <w:t>Ordena la información crítica y controla vencimientos.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70" w:type="dxa"/>
              <w:start w:w="200" w:type="dxa"/>
              <w:bottom w:w="150" w:type="dxa"/>
              <w:end w:w="200" w:type="dxa"/>
            </w:tcMar>
          </w:tcPr>
          <w:p>
            <w:pPr>
              <w:spacing w:after="6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>PLAN 1</w:t>
            </w:r>
          </w:p>
          <w:p>
            <w:pPr>
              <w:spacing w:after="60"/>
            </w:pPr>
            <w:r>
              <w:rPr>
                <w:rFonts w:ascii="Manrope" w:hAnsi="Manrope" w:eastAsia="Manrope"/>
                <w:b/>
                <w:color w:val="1A1A5E"/>
                <w:sz w:val="34"/>
              </w:rPr>
              <w:t>Nexo Klar Esencial</w:t>
            </w:r>
          </w:p>
          <w:p>
            <w:pPr>
              <w:spacing w:after="160"/>
            </w:pPr>
            <w:r>
              <w:rPr>
                <w:rFonts w:ascii="Manrope" w:hAnsi="Manrope" w:eastAsia="Manrope"/>
                <w:b/>
                <w:color w:val="141A20"/>
                <w:sz w:val="21"/>
              </w:rPr>
              <w:t>“Una base única para personas, clientes, contratos, documentos y alertas.”</w:t>
            </w:r>
          </w:p>
          <w:p>
            <w:pPr>
              <w:spacing w:after="180"/>
            </w:pPr>
            <w:r>
              <w:rPr>
                <w:rFonts w:ascii="Manrope" w:hAnsi="Manrope" w:eastAsia="Manrope"/>
                <w:b w:val="0"/>
                <w:color w:val="5D6B7A"/>
                <w:sz w:val="18"/>
              </w:rPr>
              <w:t>Ideal para: Empresas de servicios que hoy trabajan con planillas, carpetas, correos y controles dispersos.</w:t>
            </w:r>
          </w:p>
          <w:p>
            <w:pPr>
              <w:spacing w:after="10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>Módulos incluidos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Panel General y Alertas.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Gestión de personal por proyecto.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Personas, turnos y asistencia.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Protección personal / EPP.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Formación, certificaciones, exámenes y salud ocupacional.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Restringidos y control de habilitación básica.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Clientes, contratos y firmas.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Órdenes de servicio.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Cumplimiento corporativo, habilitación del cliente y auditoría documental.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Reportes y analítica base.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Configuración, importación/exportación, usuarios, permisos, bitácora y privacidad.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120" w:after="120"/>
      </w:pPr>
      <w:r>
        <w:rPr>
          <w:rFonts w:ascii="Manrope" w:hAnsi="Manrope" w:eastAsia="Manrope"/>
          <w:b/>
          <w:color w:val="1A1A5E"/>
          <w:sz w:val="52"/>
        </w:rPr>
        <w:t>Plan 2 · Nexo Klar Operación</w:t>
      </w:r>
    </w:p>
    <w:p>
      <w:pPr>
        <w:spacing w:after="320"/>
      </w:pPr>
      <w:r>
        <w:rPr>
          <w:rFonts w:ascii="Manrope" w:hAnsi="Manrope" w:eastAsia="Manrope"/>
          <w:b w:val="0"/>
          <w:color w:val="5D6B7A"/>
          <w:sz w:val="22"/>
        </w:rPr>
        <w:t>Coordina personas, recursos y servicios desde una misma operación.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70" w:type="dxa"/>
              <w:start w:w="200" w:type="dxa"/>
              <w:bottom w:w="150" w:type="dxa"/>
              <w:end w:w="200" w:type="dxa"/>
            </w:tcMar>
          </w:tcPr>
          <w:p>
            <w:pPr>
              <w:spacing w:after="6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>PLAN 2</w:t>
            </w:r>
          </w:p>
          <w:p>
            <w:pPr>
              <w:spacing w:after="60"/>
            </w:pPr>
            <w:r>
              <w:rPr>
                <w:rFonts w:ascii="Manrope" w:hAnsi="Manrope" w:eastAsia="Manrope"/>
                <w:b/>
                <w:color w:val="1A1A5E"/>
                <w:sz w:val="34"/>
              </w:rPr>
              <w:t>Nexo Klar Operación</w:t>
            </w:r>
          </w:p>
          <w:p>
            <w:pPr>
              <w:spacing w:after="160"/>
            </w:pPr>
            <w:r>
              <w:rPr>
                <w:rFonts w:ascii="Manrope" w:hAnsi="Manrope" w:eastAsia="Manrope"/>
                <w:b/>
                <w:color w:val="141A20"/>
                <w:sz w:val="21"/>
              </w:rPr>
              <w:t>“La operación diaria conectada con personas, recursos, cumplimiento y servicios en terreno.”</w:t>
            </w:r>
          </w:p>
          <w:p>
            <w:pPr>
              <w:spacing w:after="180"/>
            </w:pPr>
            <w:r>
              <w:rPr>
                <w:rFonts w:ascii="Manrope" w:hAnsi="Manrope" w:eastAsia="Manrope"/>
                <w:b w:val="0"/>
                <w:color w:val="5D6B7A"/>
                <w:sz w:val="18"/>
              </w:rPr>
              <w:t>Ideal para: Contratistas, mantenimiento, construcción, energía, logística, facilities, seguridad y servicios técnicos.</w:t>
            </w:r>
          </w:p>
          <w:p>
            <w:pPr>
              <w:spacing w:after="10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>Módulos incluidos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Todo lo incluido en Nexo Klar Esencial.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Centro Operativo para coordinar servicios y brechas.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Comunicaciones y convocatorias.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Vehículos, activos y equipos.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Alojamientos y estadías.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Credenciales de acceso.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Incidentes y no conformidades.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Terceros y subcontratos.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Contratos y convenios de terceros.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Personal de empresa de servicios.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Habilitaciones, cumplimiento y evaluación de desempeño de terceros.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Inventario, EPP, materiales, bodegas, movimientos, mantenimiento, asignaciones y préstamos.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120" w:after="120"/>
      </w:pPr>
      <w:r>
        <w:rPr>
          <w:rFonts w:ascii="Manrope" w:hAnsi="Manrope" w:eastAsia="Manrope"/>
          <w:b/>
          <w:color w:val="1A1A5E"/>
          <w:sz w:val="52"/>
        </w:rPr>
        <w:t>Plan 3 · Nexo Klar Integral</w:t>
      </w:r>
    </w:p>
    <w:p>
      <w:pPr>
        <w:spacing w:after="320"/>
      </w:pPr>
      <w:r>
        <w:rPr>
          <w:rFonts w:ascii="Manrope" w:hAnsi="Manrope" w:eastAsia="Manrope"/>
          <w:b w:val="0"/>
          <w:color w:val="5D6B7A"/>
          <w:sz w:val="22"/>
        </w:rPr>
        <w:t>Control total para una operación conectada, trazable y escalable.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70" w:type="dxa"/>
              <w:start w:w="200" w:type="dxa"/>
              <w:bottom w:w="150" w:type="dxa"/>
              <w:end w:w="200" w:type="dxa"/>
            </w:tcMar>
          </w:tcPr>
          <w:p>
            <w:pPr>
              <w:spacing w:after="60"/>
            </w:pPr>
            <w:r>
              <w:rPr>
                <w:rFonts w:ascii="Manrope" w:hAnsi="Manrope" w:eastAsia="Manrope"/>
                <w:b/>
                <w:color w:val="1A1A5E"/>
                <w:sz w:val="18"/>
              </w:rPr>
              <w:t>PLAN 3</w:t>
            </w:r>
          </w:p>
          <w:p>
            <w:pPr>
              <w:spacing w:after="60"/>
            </w:pPr>
            <w:r>
              <w:rPr>
                <w:rFonts w:ascii="Manrope" w:hAnsi="Manrope" w:eastAsia="Manrope"/>
                <w:b/>
                <w:color w:val="1A1A5E"/>
                <w:sz w:val="34"/>
              </w:rPr>
              <w:t>Nexo Klar Integral</w:t>
            </w:r>
          </w:p>
          <w:p>
            <w:pPr>
              <w:spacing w:after="160"/>
            </w:pPr>
            <w:r>
              <w:rPr>
                <w:rFonts w:ascii="Manrope" w:hAnsi="Manrope" w:eastAsia="Manrope"/>
                <w:b/>
                <w:color w:val="141A20"/>
                <w:sz w:val="21"/>
              </w:rPr>
              <w:t>“Información ejecutiva, reglas configurables e integraciones para administrar una operación más compleja.”</w:t>
            </w:r>
          </w:p>
          <w:p>
            <w:pPr>
              <w:spacing w:after="180"/>
            </w:pPr>
            <w:r>
              <w:rPr>
                <w:rFonts w:ascii="Manrope" w:hAnsi="Manrope" w:eastAsia="Manrope"/>
                <w:b w:val="0"/>
                <w:color w:val="5D6B7A"/>
                <w:sz w:val="18"/>
              </w:rPr>
              <w:t>Ideal para: Empresas con varios clientes, contratos, órdenes, recursos, terceros y equipos que requieren análisis y crecimiento controlado.</w:t>
            </w:r>
          </w:p>
          <w:p>
            <w:pPr>
              <w:spacing w:after="10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>Módulos incluidos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Todo lo incluido en Nexo Klar Operación.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Reportes y analítica ejecutiva avanzada por cliente, contrato, orden, persona y recurso.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Control operativo de costos: alojamiento, EPP, activos, mantenimiento e inventario.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Matrices configurables de requisitos, formación, salud y EPP por cargo u orden.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Reglas de alerta, tableros e indicadores avanzados.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Configuración avanzada por empresa y formularios configurables.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Portal de revisión para clientes, cuando se habilite.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Conectores para API, ERP, firma electrónica, OCR y mensajería, según alcance contratado.</w:t>
            </w:r>
          </w:p>
          <w:p>
            <w:pPr>
              <w:pStyle w:val="ListBullet"/>
              <w:spacing w:after="20"/>
            </w:pPr>
            <w:r>
              <w:rPr>
                <w:rFonts w:ascii="Manrope" w:hAnsi="Manrope" w:eastAsia="Manrope"/>
                <w:b w:val="0"/>
                <w:color w:val="5D6B7A"/>
                <w:sz w:val="17"/>
              </w:rPr>
              <w:t>Administración de clientes: uso exclusivo del equipo interno de Nexo Klar.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120" w:after="120"/>
      </w:pPr>
      <w:r>
        <w:rPr>
          <w:rFonts w:ascii="Manrope" w:hAnsi="Manrope" w:eastAsia="Manrope"/>
          <w:b/>
          <w:color w:val="1A1A5E"/>
          <w:sz w:val="52"/>
        </w:rPr>
        <w:t>Servicios adicionales</w:t>
      </w:r>
    </w:p>
    <w:p>
      <w:pPr>
        <w:spacing w:after="320"/>
      </w:pPr>
      <w:r>
        <w:rPr>
          <w:rFonts w:ascii="Manrope" w:hAnsi="Manrope" w:eastAsia="Manrope"/>
          <w:b w:val="0"/>
          <w:color w:val="5D6B7A"/>
          <w:sz w:val="22"/>
        </w:rPr>
        <w:t>Se activan en cualquiera de los planes según la necesidad comercial y operacional.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1600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shd w:fill="2A2A8C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/>
                <w:color w:val="FFFFFF"/>
                <w:sz w:val="16"/>
              </w:rPr>
              <w:t>Servicio</w:t>
            </w:r>
          </w:p>
        </w:tc>
        <w:tc>
          <w:tcPr>
            <w:tcW w:type="dxa" w:w="2250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shd w:fill="2A2A8C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/>
                <w:color w:val="FFFFFF"/>
                <w:sz w:val="16"/>
              </w:rPr>
              <w:t>Qué resuelve</w:t>
            </w:r>
          </w:p>
        </w:tc>
        <w:tc>
          <w:tcPr>
            <w:tcW w:type="dxa" w:w="2950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shd w:fill="2A2A8C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/>
                <w:color w:val="FFFFFF"/>
                <w:sz w:val="16"/>
              </w:rPr>
              <w:t>Principales capacidades</w:t>
            </w:r>
          </w:p>
        </w:tc>
        <w:tc>
          <w:tcPr>
            <w:tcW w:type="dxa" w:w="2200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shd w:fill="2A2A8C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/>
                <w:color w:val="FFFFFF"/>
                <w:sz w:val="16"/>
              </w:rPr>
              <w:t>Industrias de mayor uso</w:t>
            </w:r>
          </w:p>
        </w:tc>
      </w:tr>
      <w:tr>
        <w:tc>
          <w:tcPr>
            <w:tcW w:type="dxa" w:w="16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Libro de obra digital</w:t>
            </w:r>
          </w:p>
        </w:tc>
        <w:tc>
          <w:tcPr>
            <w:tcW w:type="dxa" w:w="225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Formaliza acuerdos, instrucciones, avances, incidentes y compromisos de cada servicio.</w:t>
            </w:r>
          </w:p>
        </w:tc>
        <w:tc>
          <w:tcPr>
            <w:tcW w:type="dxa" w:w="295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Folios correlativos, anotaciones, evidencia, responsables, plazos, historial, firma por correo o WhatsApp y relación con cliente, contrato y orden.</w:t>
            </w:r>
          </w:p>
        </w:tc>
        <w:tc>
          <w:tcPr>
            <w:tcW w:type="dxa" w:w="22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Construcción, mantenimiento, servicios industriales, proyectos, energía, facilities y contratos de terreno.</w:t>
            </w:r>
          </w:p>
        </w:tc>
      </w:tr>
      <w:tr>
        <w:tc>
          <w:tcPr>
            <w:tcW w:type="dxa" w:w="16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Prospectos y oportunidades</w:t>
            </w:r>
          </w:p>
        </w:tc>
        <w:tc>
          <w:tcPr>
            <w:tcW w:type="dxa" w:w="225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Ordena la gestión comercial antes de crear un cliente, contrato u orden de servicio.</w:t>
            </w:r>
          </w:p>
        </w:tc>
        <w:tc>
          <w:tcPr>
            <w:tcW w:type="dxa" w:w="295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Embudo, etapas, responsable, próxima acción, bitácora, contacto, montos, documentos y conversión a cliente/contrato/orden.</w:t>
            </w:r>
          </w:p>
        </w:tc>
        <w:tc>
          <w:tcPr>
            <w:tcW w:type="dxa" w:w="22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Empresas de servicios, mantenimiento, contratación, ingeniería, logística y gestión comercial B2B.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Manrope" w:hAnsi="Manrope" w:eastAsia="Manrope"/>
          <w:b/>
          <w:color w:val="2A2A8C"/>
          <w:sz w:val="32"/>
        </w:rPr>
        <w:t>Implementaciones opcionales</w:t>
      </w:r>
    </w:p>
    <w:p>
      <w:pPr>
        <w:pStyle w:val="ListBullet"/>
        <w:spacing w:after="40" w:line="259" w:lineRule="auto"/>
      </w:pPr>
      <w:r>
        <w:rPr>
          <w:rFonts w:ascii="Manrope" w:hAnsi="Manrope" w:eastAsia="Manrope"/>
          <w:b w:val="0"/>
          <w:color w:val="5D6B7A"/>
          <w:sz w:val="18"/>
        </w:rPr>
        <w:t>Carga y depuración inicial de información mediante plantillas masivas.</w:t>
      </w:r>
    </w:p>
    <w:p>
      <w:pPr>
        <w:pStyle w:val="ListBullet"/>
        <w:spacing w:after="40" w:line="259" w:lineRule="auto"/>
      </w:pPr>
      <w:r>
        <w:rPr>
          <w:rFonts w:ascii="Manrope" w:hAnsi="Manrope" w:eastAsia="Manrope"/>
          <w:b w:val="0"/>
          <w:color w:val="5D6B7A"/>
          <w:sz w:val="18"/>
        </w:rPr>
        <w:t>Parametrización de requisitos por cliente, contrato, cargo, orden o ubicación.</w:t>
      </w:r>
    </w:p>
    <w:p>
      <w:pPr>
        <w:pStyle w:val="ListBullet"/>
        <w:spacing w:after="40" w:line="259" w:lineRule="auto"/>
      </w:pPr>
      <w:r>
        <w:rPr>
          <w:rFonts w:ascii="Manrope" w:hAnsi="Manrope" w:eastAsia="Manrope"/>
          <w:b w:val="0"/>
          <w:color w:val="5D6B7A"/>
          <w:sz w:val="18"/>
        </w:rPr>
        <w:t>Capacitación y acompañamiento de puesta en marcha.</w:t>
      </w:r>
    </w:p>
    <w:p>
      <w:pPr>
        <w:pStyle w:val="ListBullet"/>
        <w:spacing w:after="40" w:line="259" w:lineRule="auto"/>
      </w:pPr>
      <w:r>
        <w:rPr>
          <w:rFonts w:ascii="Manrope" w:hAnsi="Manrope" w:eastAsia="Manrope"/>
          <w:b w:val="0"/>
          <w:color w:val="5D6B7A"/>
          <w:sz w:val="18"/>
        </w:rPr>
        <w:t>Integración con correo, WhatsApp, firma electrónica, OCR, ERP u otros sistemas.</w:t>
      </w:r>
    </w:p>
    <w:p>
      <w:pPr>
        <w:pStyle w:val="ListBullet"/>
        <w:spacing w:after="40" w:line="259" w:lineRule="auto"/>
      </w:pPr>
      <w:r>
        <w:rPr>
          <w:rFonts w:ascii="Manrope" w:hAnsi="Manrope" w:eastAsia="Manrope"/>
          <w:b w:val="0"/>
          <w:color w:val="5D6B7A"/>
          <w:sz w:val="18"/>
        </w:rPr>
        <w:t>Identidad visual personalizada por empresa, bajo alcance contratado.</w:t>
      </w:r>
    </w:p>
    <w:p>
      <w:r>
        <w:br w:type="page"/>
      </w:r>
    </w:p>
    <w:p>
      <w:pPr>
        <w:spacing w:before="120" w:after="120"/>
      </w:pPr>
      <w:r>
        <w:rPr>
          <w:rFonts w:ascii="Manrope" w:hAnsi="Manrope" w:eastAsia="Manrope"/>
          <w:b/>
          <w:color w:val="1A1A5E"/>
          <w:sz w:val="52"/>
        </w:rPr>
        <w:t>Matriz de visibilidad SaaS</w:t>
      </w:r>
    </w:p>
    <w:p>
      <w:pPr>
        <w:spacing w:after="320"/>
      </w:pPr>
      <w:r>
        <w:rPr>
          <w:rFonts w:ascii="Manrope" w:hAnsi="Manrope" w:eastAsia="Manrope"/>
          <w:b w:val="0"/>
          <w:color w:val="5D6B7A"/>
          <w:sz w:val="22"/>
        </w:rPr>
        <w:t>La plataforma conserva una experiencia clara: cada plan revela únicamente las capacidades contratadas.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3300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shd w:fill="2A2A8C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/>
                <w:color w:val="FFFFFF"/>
                <w:sz w:val="16"/>
              </w:rPr>
              <w:t>Grupo funcional</w:t>
            </w:r>
          </w:p>
        </w:tc>
        <w:tc>
          <w:tcPr>
            <w:tcW w:type="dxa" w:w="1800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shd w:fill="2A2A8C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/>
                <w:color w:val="FFFFFF"/>
                <w:sz w:val="16"/>
              </w:rPr>
              <w:t>Esencial</w:t>
            </w:r>
          </w:p>
        </w:tc>
        <w:tc>
          <w:tcPr>
            <w:tcW w:type="dxa" w:w="1800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shd w:fill="2A2A8C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2100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shd w:fill="2A2A8C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/>
                <w:color w:val="FFFFFF"/>
                <w:sz w:val="16"/>
              </w:rPr>
              <w:t>Integral</w:t>
            </w:r>
          </w:p>
        </w:tc>
      </w:tr>
      <w:tr>
        <w:tc>
          <w:tcPr>
            <w:tcW w:type="dxa" w:w="33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Panel, alertas y control base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</w:t>
            </w:r>
          </w:p>
        </w:tc>
        <w:tc>
          <w:tcPr>
            <w:tcW w:type="dxa" w:w="21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 + indicadores avanzados</w:t>
            </w:r>
          </w:p>
        </w:tc>
      </w:tr>
      <w:tr>
        <w:tc>
          <w:tcPr>
            <w:tcW w:type="dxa" w:w="33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Personas, formación, salud, EPP y restricciones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</w:t>
            </w:r>
          </w:p>
        </w:tc>
        <w:tc>
          <w:tcPr>
            <w:tcW w:type="dxa" w:w="21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 + matrices configurables</w:t>
            </w:r>
          </w:p>
        </w:tc>
      </w:tr>
      <w:tr>
        <w:tc>
          <w:tcPr>
            <w:tcW w:type="dxa" w:w="33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Clientes, contratos y órdenes de servicio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</w:t>
            </w:r>
          </w:p>
        </w:tc>
        <w:tc>
          <w:tcPr>
            <w:tcW w:type="dxa" w:w="21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 + analítica avanzada</w:t>
            </w:r>
          </w:p>
        </w:tc>
      </w:tr>
      <w:tr>
        <w:tc>
          <w:tcPr>
            <w:tcW w:type="dxa" w:w="33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Recursos: vehículos, alojamiento y credenciales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—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</w:t>
            </w:r>
          </w:p>
        </w:tc>
        <w:tc>
          <w:tcPr>
            <w:tcW w:type="dxa" w:w="21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</w:t>
            </w:r>
          </w:p>
        </w:tc>
      </w:tr>
      <w:tr>
        <w:tc>
          <w:tcPr>
            <w:tcW w:type="dxa" w:w="33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Terceros y subcontratos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—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</w:t>
            </w:r>
          </w:p>
        </w:tc>
        <w:tc>
          <w:tcPr>
            <w:tcW w:type="dxa" w:w="21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 + evaluación avanzada</w:t>
            </w:r>
          </w:p>
        </w:tc>
      </w:tr>
      <w:tr>
        <w:tc>
          <w:tcPr>
            <w:tcW w:type="dxa" w:w="33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Activos, equipos e inventario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—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</w:t>
            </w:r>
          </w:p>
        </w:tc>
        <w:tc>
          <w:tcPr>
            <w:tcW w:type="dxa" w:w="21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 + costos y conectores</w:t>
            </w:r>
          </w:p>
        </w:tc>
      </w:tr>
      <w:tr>
        <w:tc>
          <w:tcPr>
            <w:tcW w:type="dxa" w:w="33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Cumplimiento y auditoría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</w:t>
            </w:r>
          </w:p>
        </w:tc>
        <w:tc>
          <w:tcPr>
            <w:tcW w:type="dxa" w:w="21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Incluido + reglas y conectores</w:t>
            </w:r>
          </w:p>
        </w:tc>
      </w:tr>
      <w:tr>
        <w:tc>
          <w:tcPr>
            <w:tcW w:type="dxa" w:w="33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Reportes y analítica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Base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Operacional</w:t>
            </w:r>
          </w:p>
        </w:tc>
        <w:tc>
          <w:tcPr>
            <w:tcW w:type="dxa" w:w="21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Ejecutiva avanzada</w:t>
            </w:r>
          </w:p>
        </w:tc>
      </w:tr>
      <w:tr>
        <w:tc>
          <w:tcPr>
            <w:tcW w:type="dxa" w:w="33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Integraciones, formularios y portal cliente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—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—</w:t>
            </w:r>
          </w:p>
        </w:tc>
        <w:tc>
          <w:tcPr>
            <w:tcW w:type="dxa" w:w="21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Según alcance contratado</w:t>
            </w:r>
          </w:p>
        </w:tc>
      </w:tr>
      <w:tr>
        <w:tc>
          <w:tcPr>
            <w:tcW w:type="dxa" w:w="33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Libro de obra digital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Adicional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Adicional</w:t>
            </w:r>
          </w:p>
        </w:tc>
        <w:tc>
          <w:tcPr>
            <w:tcW w:type="dxa" w:w="21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BF9F5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Adicional</w:t>
            </w:r>
          </w:p>
        </w:tc>
      </w:tr>
      <w:tr>
        <w:tc>
          <w:tcPr>
            <w:tcW w:type="dxa" w:w="33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Prospectos y oportunidades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Adicional</w:t>
            </w:r>
          </w:p>
        </w:tc>
        <w:tc>
          <w:tcPr>
            <w:tcW w:type="dxa" w:w="18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Adicional</w:t>
            </w:r>
          </w:p>
        </w:tc>
        <w:tc>
          <w:tcPr>
            <w:tcW w:type="dxa" w:w="2100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shd w:fill="FFFFFF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/>
                <w:b w:val="0"/>
                <w:color w:val="141A20"/>
                <w:sz w:val="16"/>
              </w:rPr>
              <w:t>Adicional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Manrope" w:hAnsi="Manrope" w:eastAsia="Manrope"/>
          <w:b/>
          <w:color w:val="2A2A8C"/>
          <w:sz w:val="32"/>
        </w:rPr>
        <w:t>Regla comercial recomendada</w:t>
      </w:r>
    </w:p>
    <w:p>
      <w:pPr>
        <w:spacing w:after="140" w:line="276" w:lineRule="auto"/>
      </w:pPr>
      <w:r>
        <w:rPr>
          <w:rFonts w:ascii="Manrope" w:hAnsi="Manrope" w:eastAsia="Manrope"/>
          <w:b w:val="0"/>
          <w:color w:val="5D6B7A"/>
          <w:sz w:val="20"/>
        </w:rPr>
        <w:t>El cliente puede crecer de plan sin perder datos ni historial. Los servicios adicionales se activan de forma independiente; de esta manera, una empresa puede comenzar con control documental y luego incorporar operación, activos, Libro de obra o gestión comercial cuando su proceso lo requiera.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6F2EB"/>
            <w:tcBorders>
              <w:top w:val="single" w:sz="8" w:color="BFE1D1"/>
              <w:left w:val="single" w:sz="8" w:color="BFE1D1"/>
              <w:bottom w:val="single" w:sz="8" w:color="BFE1D1"/>
              <w:right w:val="single" w:sz="8" w:color="BFE1D1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Manrope" w:hAnsi="Manrope" w:eastAsia="Manrope"/>
                <w:b/>
                <w:color w:val="00706A"/>
                <w:sz w:val="17"/>
              </w:rPr>
              <w:t>RESUMEN</w:t>
            </w:r>
          </w:p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Nexo Klar Esencial ordena. Nexo Klar Operación ejecuta. Nexo Klar Integral dirige y escala.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nrope" w:hAnsi="Manrope" w:eastAsia="Manrope"/>
        <w:b w:val="0"/>
        <w:color w:val="5D6B7A"/>
        <w:sz w:val="16"/>
      </w:rPr>
      <w:t>Documento comercial de referencia · Nexo Klar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nrope" w:hAnsi="Manrope" w:eastAsia="Manrope"/>
        <w:b/>
        <w:color w:val="00706A"/>
        <w:sz w:val="16"/>
      </w:rPr>
      <w:t>NEXO KLAR SPA  |  Propuesta de planes SaaS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