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20" w:before="1800"/>
        <w:jc w:val="left"/>
      </w:pPr>
      <w:r>
        <w:rPr>
          <w:rFonts w:ascii="Arial" w:cs="Arial" w:eastAsia="Arial" w:hAnsi="Arial"/>
          <w:b/>
          <w:bCs/>
          <w:color w:val="F97316"/>
          <w:sz w:val="28"/>
          <w:szCs w:val="28"/>
        </w:rPr>
        <w:t xml:space="preserve">NEXO KLAR</w:t>
      </w:r>
    </w:p>
    <w:p>
      <w:pPr>
        <w:spacing w:after="260"/>
      </w:pPr>
      <w:r>
        <w:rPr>
          <w:rFonts w:ascii="Arial" w:cs="Arial" w:eastAsia="Arial" w:hAnsi="Arial"/>
          <w:b/>
          <w:bCs/>
          <w:color w:val="0F172A"/>
          <w:sz w:val="58"/>
          <w:szCs w:val="58"/>
        </w:rPr>
        <w:t xml:space="preserve">Propuesta de Planes SaaS</w:t>
      </w:r>
    </w:p>
    <w:p>
      <w:pPr>
        <w:spacing w:after="520" w:before="0" w:line="300"/>
        <w:jc w:val="left"/>
      </w:pPr>
      <w:r>
        <w:rPr>
          <w:rFonts w:ascii="Arial" w:cs="Arial" w:eastAsia="Arial" w:hAnsi="Arial"/>
          <w:color w:val="475569"/>
          <w:sz w:val="28"/>
          <w:szCs w:val="28"/>
        </w:rPr>
        <w:t xml:space="preserve">Modelo comercial escalonado para presentación al Directorio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7ED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pPr>
              <w:spacing w:after="80" w:before="0" w:line="300"/>
              <w:jc w:val="left"/>
            </w:pPr>
            <w:r>
              <w:rPr>
                <w:rFonts w:ascii="Arial" w:cs="Arial" w:eastAsia="Arial" w:hAnsi="Arial"/>
                <w:b/>
                <w:bCs/>
                <w:color w:val="1D4ED8"/>
                <w:sz w:val="17"/>
                <w:szCs w:val="17"/>
              </w:rPr>
              <w:t xml:space="preserve">OBJETIVO</w:t>
            </w:r>
          </w:p>
          <w:p>
            <w:pPr>
              <w:spacing w:after="0" w:before="0" w:line="300"/>
              <w:jc w:val="left"/>
            </w:pPr>
            <w:r>
              <w:rPr>
                <w:rFonts w:ascii="Arial" w:cs="Arial" w:eastAsia="Arial" w:hAnsi="Arial"/>
                <w:color w:val="0F172A"/>
                <w:sz w:val="21"/>
                <w:szCs w:val="21"/>
              </w:rPr>
              <w:t xml:space="preserve">Definir una oferta comercial simple, escalable y rentable que permita vender Nexo Klar a empresas de distintos tamaños sin entregar toda la plataforma desde el plan inicial.</w:t>
            </w:r>
          </w:p>
        </w:tc>
      </w:tr>
    </w:tbl>
    <w:p>
      <w:pPr>
        <w:spacing w:after="120" w:before="900" w:line="300"/>
        <w:jc w:val="left"/>
      </w:pPr>
      <w:r>
        <w:rPr>
          <w:rFonts w:ascii="Arial" w:cs="Arial" w:eastAsia="Arial" w:hAnsi="Arial"/>
          <w:color w:val="475569"/>
          <w:sz w:val="18"/>
          <w:szCs w:val="18"/>
        </w:rPr>
        <w:t xml:space="preserve">Documento ejecutivo · Julio de 2026</w:t>
      </w:r>
    </w:p>
    <w:p>
      <w:r>
        <w:br w:type="page"/>
      </w:r>
    </w:p>
    <w:p>
      <w:pPr>
        <w:pStyle w:val="Heading1"/>
        <w:spacing w:after="140"/>
      </w:pPr>
      <w:r>
        <w:t xml:space="preserve">Resumen ejecutivo</w:t>
      </w:r>
    </w:p>
    <w:p>
      <w:pPr>
        <w:spacing w:after="280" w:before="0" w:line="300"/>
        <w:jc w:val="left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Recomendación de empaquetamiento comercial para Nexo Klar.</w:t>
      </w:r>
    </w:p>
    <w:p>
      <w:pPr>
        <w:spacing w:after="120" w:before="0" w:line="300"/>
        <w:jc w:val="left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Nexo Klar cuenta con una cobertura funcional suficientemente amplia para comercializarse como una plataforma SaaS escalonada. La recomendación es ofrecer cuatro planes progresivos: Esencial, Gestión, Operaciones e Integral.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FF6FF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pPr>
              <w:spacing w:after="80" w:before="0" w:line="300"/>
              <w:jc w:val="left"/>
            </w:pPr>
            <w:r>
              <w:rPr>
                <w:rFonts w:ascii="Arial" w:cs="Arial" w:eastAsia="Arial" w:hAnsi="Arial"/>
                <w:b/>
                <w:bCs/>
                <w:color w:val="1D4ED8"/>
                <w:sz w:val="17"/>
                <w:szCs w:val="17"/>
              </w:rPr>
              <w:t xml:space="preserve">RECOMENDACIÓN DEL DOCUMENTO</w:t>
            </w:r>
          </w:p>
          <w:p>
            <w:pPr>
              <w:spacing w:after="0" w:before="0" w:line="300"/>
              <w:jc w:val="left"/>
            </w:pPr>
            <w:r>
              <w:rPr>
                <w:rFonts w:ascii="Arial" w:cs="Arial" w:eastAsia="Arial" w:hAnsi="Arial"/>
                <w:color w:val="0F172A"/>
                <w:sz w:val="21"/>
                <w:szCs w:val="21"/>
              </w:rPr>
              <w:t xml:space="preserve">Aprobar una estructura de cuatro planes, con seguridad y separación de datos incluidas en todos los niveles, y cobrar adicionalmente por personas activas, almacenamiento e integraciones.</w:t>
            </w:r>
          </w:p>
        </w:tc>
      </w:tr>
    </w:tbl>
    <w:p>
      <w:pPr>
        <w:pStyle w:val="Heading2"/>
      </w:pPr>
      <w:r>
        <w:t xml:space="preserve">Principios de la propuesta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Cada plan debe resolver un problema completo y ser útil por sí mismo.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La seguridad, privacidad, permisos y separación de datos no deben venderse como extras.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Los planes superiores agregan profundidad operativa, automatización e integración.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El cliente puede crecer sin migraciones ni pérdida de información.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Los servicios de implementación y los consumos de terceros se cobran por separado.</w:t>
      </w:r>
    </w:p>
    <w:p>
      <w:r>
        <w:br w:type="page"/>
      </w:r>
    </w:p>
    <w:p>
      <w:pPr>
        <w:pStyle w:val="Heading1"/>
        <w:spacing w:after="140"/>
      </w:pPr>
      <w:r>
        <w:t xml:space="preserve">Base funcional validada</w:t>
      </w:r>
    </w:p>
    <w:p>
      <w:pPr>
        <w:spacing w:after="280" w:before="0" w:line="300"/>
        <w:jc w:val="left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Cobertura actual del sitio privado y oportunidad de paquetización.</w:t>
      </w:r>
    </w:p>
    <w:p>
      <w:pPr>
        <w:spacing w:after="120" w:before="0" w:line="300"/>
        <w:jc w:val="left"/>
      </w:pPr>
      <w:r>
        <w:rPr>
          <w:rFonts w:ascii="Arial" w:cs="Arial" w:eastAsia="Arial" w:hAnsi="Arial"/>
          <w:color w:val="475569"/>
          <w:sz w:val="21"/>
          <w:szCs w:val="21"/>
        </w:rPr>
        <w:t xml:space="preserve">La plataforma reúne funciones de gestión comercial, personas, cumplimiento, operación en terreno, recursos, seguridad, trazabilidad y administración. Esta amplitud permite atender desde empresas pequeñas que desean reemplazar planillas hasta organizaciones que requieren una operación integrada.</w:t>
      </w:r>
    </w:p>
    <w:p>
      <w:pPr>
        <w:pStyle w:val="Heading2"/>
      </w:pPr>
      <w:r>
        <w:t xml:space="preserve">Familias funcionales disponibles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246"/>
      </w:tblGrid>
      <w:tr>
        <w:trPr>
          <w:tblHeader/>
        </w:trPr>
        <w:tc>
          <w:tcPr>
            <w:tcW w:type="dxa" w:w="2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Familia</w:t>
            </w:r>
          </w:p>
        </w:tc>
        <w:tc>
          <w:tcPr>
            <w:tcW w:type="dxa" w:w="72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Capacidades principales</w:t>
            </w:r>
          </w:p>
        </w:tc>
      </w:tr>
      <w:tr>
        <w:tc>
          <w:tcPr>
            <w:tcW w:type="dxa" w:w="2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Arial" w:cs="Arial" w:eastAsia="Arial" w:hAnsi="Arial"/>
                <w:color w:val="475569"/>
                <w:sz w:val="16"/>
                <w:szCs w:val="16"/>
              </w:rPr>
              <w:t xml:space="preserve">Relación comercial</w:t>
            </w:r>
          </w:p>
        </w:tc>
        <w:tc>
          <w:tcPr>
            <w:tcW w:type="dxa" w:w="72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Arial" w:cs="Arial" w:eastAsia="Arial" w:hAnsi="Arial"/>
                <w:color w:val="475569"/>
                <w:sz w:val="16"/>
                <w:szCs w:val="16"/>
              </w:rPr>
              <w:t xml:space="preserve">Prospectos, clientes, contratos y órdenes de servicio</w:t>
            </w:r>
          </w:p>
        </w:tc>
      </w:tr>
      <w:tr>
        <w:tc>
          <w:tcPr>
            <w:tcW w:type="dxa" w:w="2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Arial" w:cs="Arial" w:eastAsia="Arial" w:hAnsi="Arial"/>
                <w:color w:val="475569"/>
                <w:sz w:val="16"/>
                <w:szCs w:val="16"/>
              </w:rPr>
              <w:t xml:space="preserve">Personas</w:t>
            </w:r>
          </w:p>
        </w:tc>
        <w:tc>
          <w:tcPr>
            <w:tcW w:type="dxa" w:w="72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Arial" w:cs="Arial" w:eastAsia="Arial" w:hAnsi="Arial"/>
                <w:color w:val="475569"/>
                <w:sz w:val="16"/>
                <w:szCs w:val="16"/>
              </w:rPr>
              <w:t xml:space="preserve">Reclutamiento, personal permanente y temporal, bloqueos y asignaciones</w:t>
            </w:r>
          </w:p>
        </w:tc>
      </w:tr>
      <w:tr>
        <w:tc>
          <w:tcPr>
            <w:tcW w:type="dxa" w:w="2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Arial" w:cs="Arial" w:eastAsia="Arial" w:hAnsi="Arial"/>
                <w:color w:val="475569"/>
                <w:sz w:val="16"/>
                <w:szCs w:val="16"/>
              </w:rPr>
              <w:t xml:space="preserve">Cumplimiento</w:t>
            </w:r>
          </w:p>
        </w:tc>
        <w:tc>
          <w:tcPr>
            <w:tcW w:type="dxa" w:w="72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Arial" w:cs="Arial" w:eastAsia="Arial" w:hAnsi="Arial"/>
                <w:color w:val="475569"/>
                <w:sz w:val="16"/>
                <w:szCs w:val="16"/>
              </w:rPr>
              <w:t xml:space="preserve">Documentos, habilitación, formación, aptitudes, credenciales y auditoría</w:t>
            </w:r>
          </w:p>
        </w:tc>
      </w:tr>
      <w:tr>
        <w:tc>
          <w:tcPr>
            <w:tcW w:type="dxa" w:w="2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Arial" w:cs="Arial" w:eastAsia="Arial" w:hAnsi="Arial"/>
                <w:color w:val="475569"/>
                <w:sz w:val="16"/>
                <w:szCs w:val="16"/>
              </w:rPr>
              <w:t xml:space="preserve">Operaciones</w:t>
            </w:r>
          </w:p>
        </w:tc>
        <w:tc>
          <w:tcPr>
            <w:tcW w:type="dxa" w:w="72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Arial" w:cs="Arial" w:eastAsia="Arial" w:hAnsi="Arial"/>
                <w:color w:val="475569"/>
                <w:sz w:val="16"/>
                <w:szCs w:val="16"/>
              </w:rPr>
              <w:t xml:space="preserve">Centro Operativo, turnos, vehículos, alojamiento, inventario y comunicaciones</w:t>
            </w:r>
          </w:p>
        </w:tc>
      </w:tr>
      <w:tr>
        <w:tc>
          <w:tcPr>
            <w:tcW w:type="dxa" w:w="2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Arial" w:cs="Arial" w:eastAsia="Arial" w:hAnsi="Arial"/>
                <w:color w:val="475569"/>
                <w:sz w:val="16"/>
                <w:szCs w:val="16"/>
              </w:rPr>
              <w:t xml:space="preserve">Seguridad</w:t>
            </w:r>
          </w:p>
        </w:tc>
        <w:tc>
          <w:tcPr>
            <w:tcW w:type="dxa" w:w="72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Arial" w:cs="Arial" w:eastAsia="Arial" w:hAnsi="Arial"/>
                <w:color w:val="475569"/>
                <w:sz w:val="16"/>
                <w:szCs w:val="16"/>
              </w:rPr>
              <w:t xml:space="preserve">EPP, salud ocupacional, incidentes, acciones correctivas y registro operacional</w:t>
            </w:r>
          </w:p>
        </w:tc>
      </w:tr>
      <w:tr>
        <w:tc>
          <w:tcPr>
            <w:tcW w:type="dxa" w:w="2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Arial" w:cs="Arial" w:eastAsia="Arial" w:hAnsi="Arial"/>
                <w:color w:val="475569"/>
                <w:sz w:val="16"/>
                <w:szCs w:val="16"/>
              </w:rPr>
              <w:t xml:space="preserve">Administración</w:t>
            </w:r>
          </w:p>
        </w:tc>
        <w:tc>
          <w:tcPr>
            <w:tcW w:type="dxa" w:w="72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Arial" w:cs="Arial" w:eastAsia="Arial" w:hAnsi="Arial"/>
                <w:color w:val="475569"/>
                <w:sz w:val="16"/>
                <w:szCs w:val="16"/>
              </w:rPr>
              <w:t xml:space="preserve">Usuarios, permisos, configuración, importación, exportación y privacidad</w:t>
            </w:r>
          </w:p>
        </w:tc>
      </w:tr>
      <w:tr>
        <w:tc>
          <w:tcPr>
            <w:tcW w:type="dxa" w:w="2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Arial" w:cs="Arial" w:eastAsia="Arial" w:hAnsi="Arial"/>
                <w:color w:val="475569"/>
                <w:sz w:val="16"/>
                <w:szCs w:val="16"/>
              </w:rPr>
              <w:t xml:space="preserve">Información</w:t>
            </w:r>
          </w:p>
        </w:tc>
        <w:tc>
          <w:tcPr>
            <w:tcW w:type="dxa" w:w="72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Arial" w:cs="Arial" w:eastAsia="Arial" w:hAnsi="Arial"/>
                <w:color w:val="475569"/>
                <w:sz w:val="16"/>
                <w:szCs w:val="16"/>
              </w:rPr>
              <w:t xml:space="preserve">Alertas, bitácora, paneles, reportes y analítica</w:t>
            </w:r>
          </w:p>
        </w:tc>
      </w:tr>
    </w:tbl>
    <w:p>
      <w:pPr>
        <w:pStyle w:val="Heading2"/>
      </w:pPr>
      <w:r>
        <w:t xml:space="preserve">Brecha para vender planes</w:t>
      </w:r>
    </w:p>
    <w:p>
      <w:pPr>
        <w:spacing w:after="120" w:before="0" w:line="300"/>
        <w:jc w:val="left"/>
      </w:pPr>
      <w:r>
        <w:rPr>
          <w:rFonts w:ascii="Arial" w:cs="Arial" w:eastAsia="Arial" w:hAnsi="Arial"/>
          <w:color w:val="475569"/>
          <w:sz w:val="21"/>
          <w:szCs w:val="21"/>
        </w:rPr>
        <w:t xml:space="preserve">Actualmente no existe un motor completo de suscripciones que asigne automáticamente módulos, límites y consumos a cada empresa. Esta capacidad debe incorporarse antes de comercializar planes diferenciados.</w:t>
      </w:r>
    </w:p>
    <w:p>
      <w:r>
        <w:br w:type="page"/>
      </w:r>
    </w:p>
    <w:p>
      <w:pPr>
        <w:pStyle w:val="Heading1"/>
        <w:spacing w:after="140"/>
      </w:pPr>
      <w:r>
        <w:t xml:space="preserve">Comparación de planes</w:t>
      </w:r>
    </w:p>
    <w:p>
      <w:pPr>
        <w:spacing w:after="280" w:before="0" w:line="300"/>
        <w:jc w:val="left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Lectura rápida para decisión del Directorio.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400"/>
        <w:gridCol w:w="1400"/>
        <w:gridCol w:w="1400"/>
        <w:gridCol w:w="2246"/>
      </w:tblGrid>
      <w:tr>
        <w:trPr>
          <w:tblHeader/>
        </w:trPr>
        <w:tc>
          <w:tcPr>
            <w:tcW w:type="dxa" w:w="3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Capacidad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Esencial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Gestión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Operaciones</w:t>
            </w:r>
          </w:p>
        </w:tc>
        <w:tc>
          <w:tcPr>
            <w:tcW w:type="dxa" w:w="22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Integral</w:t>
            </w:r>
          </w:p>
        </w:tc>
      </w:tr>
      <w:tr>
        <w:tc>
          <w:tcPr>
            <w:tcW w:type="dxa" w:w="3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Arial" w:cs="Arial" w:eastAsia="Arial" w:hAnsi="Arial"/>
                <w:color w:val="475569"/>
                <w:sz w:val="16"/>
                <w:szCs w:val="16"/>
              </w:rPr>
              <w:t xml:space="preserve">Clientes, contratos y órdenes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Arial" w:cs="Arial" w:eastAsia="Arial" w:hAnsi="Arial"/>
                <w:color w:val="475569"/>
                <w:sz w:val="16"/>
                <w:szCs w:val="16"/>
              </w:rPr>
              <w:t xml:space="preserve">Sí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Arial" w:cs="Arial" w:eastAsia="Arial" w:hAnsi="Arial"/>
                <w:color w:val="475569"/>
                <w:sz w:val="16"/>
                <w:szCs w:val="16"/>
              </w:rPr>
              <w:t xml:space="preserve">Sí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Arial" w:cs="Arial" w:eastAsia="Arial" w:hAnsi="Arial"/>
                <w:color w:val="475569"/>
                <w:sz w:val="16"/>
                <w:szCs w:val="16"/>
              </w:rPr>
              <w:t xml:space="preserve">Sí</w:t>
            </w:r>
          </w:p>
        </w:tc>
        <w:tc>
          <w:tcPr>
            <w:tcW w:type="dxa" w:w="22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Arial" w:cs="Arial" w:eastAsia="Arial" w:hAnsi="Arial"/>
                <w:color w:val="475569"/>
                <w:sz w:val="16"/>
                <w:szCs w:val="16"/>
              </w:rPr>
              <w:t xml:space="preserve">Sí</w:t>
            </w:r>
          </w:p>
        </w:tc>
      </w:tr>
      <w:tr>
        <w:tc>
          <w:tcPr>
            <w:tcW w:type="dxa" w:w="3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Arial" w:cs="Arial" w:eastAsia="Arial" w:hAnsi="Arial"/>
                <w:color w:val="475569"/>
                <w:sz w:val="16"/>
                <w:szCs w:val="16"/>
              </w:rPr>
              <w:t xml:space="preserve">Personas y documentos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Arial" w:cs="Arial" w:eastAsia="Arial" w:hAnsi="Arial"/>
                <w:color w:val="475569"/>
                <w:sz w:val="16"/>
                <w:szCs w:val="16"/>
              </w:rPr>
              <w:t xml:space="preserve">Básico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Arial" w:cs="Arial" w:eastAsia="Arial" w:hAnsi="Arial"/>
                <w:color w:val="475569"/>
                <w:sz w:val="16"/>
                <w:szCs w:val="16"/>
              </w:rPr>
              <w:t xml:space="preserve">Completo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Arial" w:cs="Arial" w:eastAsia="Arial" w:hAnsi="Arial"/>
                <w:color w:val="475569"/>
                <w:sz w:val="16"/>
                <w:szCs w:val="16"/>
              </w:rPr>
              <w:t xml:space="preserve">Completo</w:t>
            </w:r>
          </w:p>
        </w:tc>
        <w:tc>
          <w:tcPr>
            <w:tcW w:type="dxa" w:w="22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Arial" w:cs="Arial" w:eastAsia="Arial" w:hAnsi="Arial"/>
                <w:color w:val="475569"/>
                <w:sz w:val="16"/>
                <w:szCs w:val="16"/>
              </w:rPr>
              <w:t xml:space="preserve">Completo</w:t>
            </w:r>
          </w:p>
        </w:tc>
      </w:tr>
      <w:tr>
        <w:tc>
          <w:tcPr>
            <w:tcW w:type="dxa" w:w="3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Arial" w:cs="Arial" w:eastAsia="Arial" w:hAnsi="Arial"/>
                <w:color w:val="475569"/>
                <w:sz w:val="16"/>
                <w:szCs w:val="16"/>
              </w:rPr>
              <w:t xml:space="preserve">Reclutamiento, EPP y aptitudes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Arial" w:cs="Arial" w:eastAsia="Arial" w:hAnsi="Arial"/>
                <w:color w:val="475569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Arial" w:cs="Arial" w:eastAsia="Arial" w:hAnsi="Arial"/>
                <w:color w:val="475569"/>
                <w:sz w:val="16"/>
                <w:szCs w:val="16"/>
              </w:rPr>
              <w:t xml:space="preserve">Sí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Arial" w:cs="Arial" w:eastAsia="Arial" w:hAnsi="Arial"/>
                <w:color w:val="475569"/>
                <w:sz w:val="16"/>
                <w:szCs w:val="16"/>
              </w:rPr>
              <w:t xml:space="preserve">Sí</w:t>
            </w:r>
          </w:p>
        </w:tc>
        <w:tc>
          <w:tcPr>
            <w:tcW w:type="dxa" w:w="22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Arial" w:cs="Arial" w:eastAsia="Arial" w:hAnsi="Arial"/>
                <w:color w:val="475569"/>
                <w:sz w:val="16"/>
                <w:szCs w:val="16"/>
              </w:rPr>
              <w:t xml:space="preserve">Sí</w:t>
            </w:r>
          </w:p>
        </w:tc>
      </w:tr>
      <w:tr>
        <w:tc>
          <w:tcPr>
            <w:tcW w:type="dxa" w:w="3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Arial" w:cs="Arial" w:eastAsia="Arial" w:hAnsi="Arial"/>
                <w:color w:val="475569"/>
                <w:sz w:val="16"/>
                <w:szCs w:val="16"/>
              </w:rPr>
              <w:t xml:space="preserve">Contratos, firmas y credenciales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Arial" w:cs="Arial" w:eastAsia="Arial" w:hAnsi="Arial"/>
                <w:color w:val="475569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Arial" w:cs="Arial" w:eastAsia="Arial" w:hAnsi="Arial"/>
                <w:color w:val="475569"/>
                <w:sz w:val="16"/>
                <w:szCs w:val="16"/>
              </w:rPr>
              <w:t xml:space="preserve">Sí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Arial" w:cs="Arial" w:eastAsia="Arial" w:hAnsi="Arial"/>
                <w:color w:val="475569"/>
                <w:sz w:val="16"/>
                <w:szCs w:val="16"/>
              </w:rPr>
              <w:t xml:space="preserve">Sí</w:t>
            </w:r>
          </w:p>
        </w:tc>
        <w:tc>
          <w:tcPr>
            <w:tcW w:type="dxa" w:w="22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Arial" w:cs="Arial" w:eastAsia="Arial" w:hAnsi="Arial"/>
                <w:color w:val="475569"/>
                <w:sz w:val="16"/>
                <w:szCs w:val="16"/>
              </w:rPr>
              <w:t xml:space="preserve">Sí</w:t>
            </w:r>
          </w:p>
        </w:tc>
      </w:tr>
      <w:tr>
        <w:tc>
          <w:tcPr>
            <w:tcW w:type="dxa" w:w="3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Arial" w:cs="Arial" w:eastAsia="Arial" w:hAnsi="Arial"/>
                <w:color w:val="475569"/>
                <w:sz w:val="16"/>
                <w:szCs w:val="16"/>
              </w:rPr>
              <w:t xml:space="preserve">Centro Operativo y logística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Arial" w:cs="Arial" w:eastAsia="Arial" w:hAnsi="Arial"/>
                <w:color w:val="475569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Arial" w:cs="Arial" w:eastAsia="Arial" w:hAnsi="Arial"/>
                <w:color w:val="475569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Arial" w:cs="Arial" w:eastAsia="Arial" w:hAnsi="Arial"/>
                <w:color w:val="475569"/>
                <w:sz w:val="16"/>
                <w:szCs w:val="16"/>
              </w:rPr>
              <w:t xml:space="preserve">Sí</w:t>
            </w:r>
          </w:p>
        </w:tc>
        <w:tc>
          <w:tcPr>
            <w:tcW w:type="dxa" w:w="22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Arial" w:cs="Arial" w:eastAsia="Arial" w:hAnsi="Arial"/>
                <w:color w:val="475569"/>
                <w:sz w:val="16"/>
                <w:szCs w:val="16"/>
              </w:rPr>
              <w:t xml:space="preserve">Sí</w:t>
            </w:r>
          </w:p>
        </w:tc>
      </w:tr>
      <w:tr>
        <w:tc>
          <w:tcPr>
            <w:tcW w:type="dxa" w:w="3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Arial" w:cs="Arial" w:eastAsia="Arial" w:hAnsi="Arial"/>
                <w:color w:val="475569"/>
                <w:sz w:val="16"/>
                <w:szCs w:val="16"/>
              </w:rPr>
              <w:t xml:space="preserve">Vehículos, alojamiento y turnos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Arial" w:cs="Arial" w:eastAsia="Arial" w:hAnsi="Arial"/>
                <w:color w:val="475569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Arial" w:cs="Arial" w:eastAsia="Arial" w:hAnsi="Arial"/>
                <w:color w:val="475569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Arial" w:cs="Arial" w:eastAsia="Arial" w:hAnsi="Arial"/>
                <w:color w:val="475569"/>
                <w:sz w:val="16"/>
                <w:szCs w:val="16"/>
              </w:rPr>
              <w:t xml:space="preserve">Sí</w:t>
            </w:r>
          </w:p>
        </w:tc>
        <w:tc>
          <w:tcPr>
            <w:tcW w:type="dxa" w:w="22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Arial" w:cs="Arial" w:eastAsia="Arial" w:hAnsi="Arial"/>
                <w:color w:val="475569"/>
                <w:sz w:val="16"/>
                <w:szCs w:val="16"/>
              </w:rPr>
              <w:t xml:space="preserve">Sí</w:t>
            </w:r>
          </w:p>
        </w:tc>
      </w:tr>
      <w:tr>
        <w:tc>
          <w:tcPr>
            <w:tcW w:type="dxa" w:w="3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Arial" w:cs="Arial" w:eastAsia="Arial" w:hAnsi="Arial"/>
                <w:color w:val="475569"/>
                <w:sz w:val="16"/>
                <w:szCs w:val="16"/>
              </w:rPr>
              <w:t xml:space="preserve">Inventario, incidentes y salud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Arial" w:cs="Arial" w:eastAsia="Arial" w:hAnsi="Arial"/>
                <w:color w:val="475569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Arial" w:cs="Arial" w:eastAsia="Arial" w:hAnsi="Arial"/>
                <w:color w:val="475569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Arial" w:cs="Arial" w:eastAsia="Arial" w:hAnsi="Arial"/>
                <w:color w:val="475569"/>
                <w:sz w:val="16"/>
                <w:szCs w:val="16"/>
              </w:rPr>
              <w:t xml:space="preserve">Sí</w:t>
            </w:r>
          </w:p>
        </w:tc>
        <w:tc>
          <w:tcPr>
            <w:tcW w:type="dxa" w:w="22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Arial" w:cs="Arial" w:eastAsia="Arial" w:hAnsi="Arial"/>
                <w:color w:val="475569"/>
                <w:sz w:val="16"/>
                <w:szCs w:val="16"/>
              </w:rPr>
              <w:t xml:space="preserve">Sí</w:t>
            </w:r>
          </w:p>
        </w:tc>
      </w:tr>
      <w:tr>
        <w:tc>
          <w:tcPr>
            <w:tcW w:type="dxa" w:w="3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Arial" w:cs="Arial" w:eastAsia="Arial" w:hAnsi="Arial"/>
                <w:color w:val="475569"/>
                <w:sz w:val="16"/>
                <w:szCs w:val="16"/>
              </w:rPr>
              <w:t xml:space="preserve">Analítica e integraciones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Arial" w:cs="Arial" w:eastAsia="Arial" w:hAnsi="Arial"/>
                <w:color w:val="475569"/>
                <w:sz w:val="16"/>
                <w:szCs w:val="16"/>
              </w:rPr>
              <w:t xml:space="preserve">Básica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Arial" w:cs="Arial" w:eastAsia="Arial" w:hAnsi="Arial"/>
                <w:color w:val="475569"/>
                <w:sz w:val="16"/>
                <w:szCs w:val="16"/>
              </w:rPr>
              <w:t xml:space="preserve">Gestión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Arial" w:cs="Arial" w:eastAsia="Arial" w:hAnsi="Arial"/>
                <w:color w:val="475569"/>
                <w:sz w:val="16"/>
                <w:szCs w:val="16"/>
              </w:rPr>
              <w:t xml:space="preserve">Operativa</w:t>
            </w:r>
          </w:p>
        </w:tc>
        <w:tc>
          <w:tcPr>
            <w:tcW w:type="dxa" w:w="22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Arial" w:cs="Arial" w:eastAsia="Arial" w:hAnsi="Arial"/>
                <w:color w:val="475569"/>
                <w:sz w:val="16"/>
                <w:szCs w:val="16"/>
              </w:rPr>
              <w:t xml:space="preserve">Avanzada</w:t>
            </w:r>
          </w:p>
        </w:tc>
      </w:tr>
      <w:tr>
        <w:tc>
          <w:tcPr>
            <w:tcW w:type="dxa" w:w="3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Arial" w:cs="Arial" w:eastAsia="Arial" w:hAnsi="Arial"/>
                <w:color w:val="475569"/>
                <w:sz w:val="16"/>
                <w:szCs w:val="16"/>
              </w:rPr>
              <w:t xml:space="preserve">Soporte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Arial" w:cs="Arial" w:eastAsia="Arial" w:hAnsi="Arial"/>
                <w:color w:val="475569"/>
                <w:sz w:val="16"/>
                <w:szCs w:val="16"/>
              </w:rPr>
              <w:t xml:space="preserve">Estándar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Arial" w:cs="Arial" w:eastAsia="Arial" w:hAnsi="Arial"/>
                <w:color w:val="475569"/>
                <w:sz w:val="16"/>
                <w:szCs w:val="16"/>
              </w:rPr>
              <w:t xml:space="preserve">Estándar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Arial" w:cs="Arial" w:eastAsia="Arial" w:hAnsi="Arial"/>
                <w:color w:val="475569"/>
                <w:sz w:val="16"/>
                <w:szCs w:val="16"/>
              </w:rPr>
              <w:t xml:space="preserve">Preferente</w:t>
            </w:r>
          </w:p>
        </w:tc>
        <w:tc>
          <w:tcPr>
            <w:tcW w:type="dxa" w:w="22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Arial" w:cs="Arial" w:eastAsia="Arial" w:hAnsi="Arial"/>
                <w:color w:val="475569"/>
                <w:sz w:val="16"/>
                <w:szCs w:val="16"/>
              </w:rPr>
              <w:t xml:space="preserve">Prioritario / SLA</w:t>
            </w:r>
          </w:p>
        </w:tc>
      </w:tr>
    </w:tbl>
    <w:p>
      <w:pPr>
        <w:spacing w:after="120" w:before="180" w:line="300"/>
        <w:jc w:val="left"/>
      </w:pPr>
      <w:r>
        <w:rPr>
          <w:rFonts w:ascii="Arial" w:cs="Arial" w:eastAsia="Arial" w:hAnsi="Arial"/>
          <w:color w:val="475569"/>
          <w:sz w:val="17"/>
          <w:szCs w:val="17"/>
        </w:rPr>
        <w:t xml:space="preserve">Los límites presentados son referencias iniciales y deben validarse con clientes piloto, costos de infraestructura y disposición de pago.</w:t>
      </w:r>
    </w:p>
    <w:p>
      <w:r>
        <w:br w:type="page"/>
      </w:r>
    </w:p>
    <w:p>
      <w:pPr>
        <w:pStyle w:val="Heading1"/>
        <w:spacing w:after="140"/>
      </w:pPr>
      <w:r>
        <w:t xml:space="preserve">Plan A · Esencial</w:t>
      </w:r>
    </w:p>
    <w:p>
      <w:pPr>
        <w:spacing w:after="280" w:before="0" w:line="300"/>
        <w:jc w:val="left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Empresas que necesitan reemplazar planillas y ordenar su operación básica.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FF6FF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pPr>
              <w:spacing w:after="80" w:before="0" w:line="300"/>
              <w:jc w:val="left"/>
            </w:pPr>
            <w:r>
              <w:rPr>
                <w:rFonts w:ascii="Arial" w:cs="Arial" w:eastAsia="Arial" w:hAnsi="Arial"/>
                <w:b/>
                <w:bCs/>
                <w:color w:val="1D4ED8"/>
                <w:sz w:val="17"/>
                <w:szCs w:val="17"/>
              </w:rPr>
              <w:t xml:space="preserve">PROPUESTA DE VALOR</w:t>
            </w:r>
          </w:p>
          <w:p>
            <w:pPr>
              <w:spacing w:after="0" w:before="0" w:line="300"/>
              <w:jc w:val="left"/>
            </w:pPr>
            <w:r>
              <w:rPr>
                <w:rFonts w:ascii="Arial" w:cs="Arial" w:eastAsia="Arial" w:hAnsi="Arial"/>
                <w:color w:val="0F172A"/>
                <w:sz w:val="21"/>
                <w:szCs w:val="21"/>
              </w:rPr>
              <w:t xml:space="preserve">Centraliza clientes, contratos, órdenes de servicio, personas y documentación crítica.</w:t>
            </w:r>
          </w:p>
        </w:tc>
      </w:tr>
    </w:tbl>
    <w:p>
      <w:pPr>
        <w:pStyle w:val="Heading2"/>
      </w:pPr>
      <w:r>
        <w:t xml:space="preserve">Módulos incluidos</w:t>
      </w:r>
    </w:p>
    <w:p>
      <w:pPr>
        <w:pStyle w:val="ListParagraph"/>
        <w:numPr>
          <w:ilvl w:val="0"/>
          <w:numId w:val="3"/>
        </w:numPr>
        <w:spacing w:after="70" w:line="276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Clientes</w:t>
      </w:r>
    </w:p>
    <w:p>
      <w:pPr>
        <w:pStyle w:val="ListParagraph"/>
        <w:numPr>
          <w:ilvl w:val="0"/>
          <w:numId w:val="3"/>
        </w:numPr>
        <w:spacing w:after="70" w:line="276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Contratos</w:t>
      </w:r>
    </w:p>
    <w:p>
      <w:pPr>
        <w:pStyle w:val="ListParagraph"/>
        <w:numPr>
          <w:ilvl w:val="0"/>
          <w:numId w:val="3"/>
        </w:numPr>
        <w:spacing w:after="70" w:line="276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Órdenes de servicio</w:t>
      </w:r>
    </w:p>
    <w:p>
      <w:pPr>
        <w:pStyle w:val="ListParagraph"/>
        <w:numPr>
          <w:ilvl w:val="0"/>
          <w:numId w:val="3"/>
        </w:numPr>
        <w:spacing w:after="70" w:line="276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Personas</w:t>
      </w:r>
    </w:p>
    <w:p>
      <w:pPr>
        <w:pStyle w:val="ListParagraph"/>
        <w:numPr>
          <w:ilvl w:val="0"/>
          <w:numId w:val="3"/>
        </w:numPr>
        <w:spacing w:after="70" w:line="276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Documentos básicos</w:t>
      </w:r>
    </w:p>
    <w:p>
      <w:pPr>
        <w:pStyle w:val="ListParagraph"/>
        <w:numPr>
          <w:ilvl w:val="0"/>
          <w:numId w:val="3"/>
        </w:numPr>
        <w:spacing w:after="70" w:line="276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Alertas de vencimiento</w:t>
      </w:r>
    </w:p>
    <w:p>
      <w:pPr>
        <w:pStyle w:val="ListParagraph"/>
        <w:numPr>
          <w:ilvl w:val="0"/>
          <w:numId w:val="3"/>
        </w:numPr>
        <w:spacing w:after="70" w:line="276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Panel de control básico</w:t>
      </w:r>
    </w:p>
    <w:p>
      <w:pPr>
        <w:pStyle w:val="ListParagraph"/>
        <w:numPr>
          <w:ilvl w:val="0"/>
          <w:numId w:val="3"/>
        </w:numPr>
        <w:spacing w:after="70" w:line="276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Importación y exportación</w:t>
      </w:r>
    </w:p>
    <w:p>
      <w:pPr>
        <w:pStyle w:val="ListParagraph"/>
        <w:numPr>
          <w:ilvl w:val="0"/>
          <w:numId w:val="3"/>
        </w:numPr>
        <w:spacing w:after="70" w:line="276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Usuarios y permisos</w:t>
      </w:r>
    </w:p>
    <w:p>
      <w:pPr>
        <w:pStyle w:val="ListParagraph"/>
        <w:numPr>
          <w:ilvl w:val="0"/>
          <w:numId w:val="3"/>
        </w:numPr>
        <w:spacing w:after="70" w:line="276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Bitácora y privacidad</w:t>
      </w:r>
    </w:p>
    <w:p>
      <w:pPr>
        <w:pStyle w:val="Heading2"/>
      </w:pPr>
      <w:r>
        <w:t xml:space="preserve">Capacidad comercial sugerida</w:t>
      </w:r>
    </w:p>
    <w:p>
      <w:pPr>
        <w:spacing w:after="120" w:before="0" w:line="300"/>
        <w:jc w:val="left"/>
      </w:pPr>
      <w:r>
        <w:rPr>
          <w:rFonts w:ascii="Arial" w:cs="Arial" w:eastAsia="Arial" w:hAnsi="Arial"/>
          <w:color w:val="0F172A"/>
          <w:sz w:val="21"/>
          <w:szCs w:val="21"/>
        </w:rPr>
        <w:t xml:space="preserve">Referencia inicial: 5 usuarios, 100 personas activas y 5 GB de almacenamiento.</w:t>
      </w:r>
    </w:p>
    <w:p>
      <w:pPr>
        <w:pStyle w:val="Heading2"/>
      </w:pPr>
      <w:r>
        <w:t xml:space="preserve">Motivo para contratar este plan</w:t>
      </w:r>
    </w:p>
    <w:p>
      <w:pPr>
        <w:spacing w:after="120" w:before="0" w:line="300"/>
        <w:jc w:val="left"/>
      </w:pPr>
      <w:r>
        <w:rPr>
          <w:rFonts w:ascii="Arial" w:cs="Arial" w:eastAsia="Arial" w:hAnsi="Arial"/>
          <w:color w:val="475569"/>
          <w:sz w:val="21"/>
          <w:szCs w:val="21"/>
        </w:rPr>
        <w:t xml:space="preserve">Comenzar rápido, ordenar la información base y reducir la dependencia de planillas.</w:t>
      </w:r>
    </w:p>
    <w:p>
      <w:r>
        <w:br w:type="page"/>
      </w:r>
    </w:p>
    <w:p>
      <w:pPr>
        <w:pStyle w:val="Heading1"/>
        <w:spacing w:after="140"/>
      </w:pPr>
      <w:r>
        <w:t xml:space="preserve">Plan B · Gestión</w:t>
      </w:r>
    </w:p>
    <w:p>
      <w:pPr>
        <w:spacing w:after="280" w:before="0" w:line="300"/>
        <w:jc w:val="left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Empresas que administran personal permanente y temporal con exigencias documentales.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FF6FF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pPr>
              <w:spacing w:after="80" w:before="0" w:line="300"/>
              <w:jc w:val="left"/>
            </w:pPr>
            <w:r>
              <w:rPr>
                <w:rFonts w:ascii="Arial" w:cs="Arial" w:eastAsia="Arial" w:hAnsi="Arial"/>
                <w:b/>
                <w:bCs/>
                <w:color w:val="1D4ED8"/>
                <w:sz w:val="17"/>
                <w:szCs w:val="17"/>
              </w:rPr>
              <w:t xml:space="preserve">PROPUESTA DE VALOR</w:t>
            </w:r>
          </w:p>
          <w:p>
            <w:pPr>
              <w:spacing w:after="0" w:before="0" w:line="300"/>
              <w:jc w:val="left"/>
            </w:pPr>
            <w:r>
              <w:rPr>
                <w:rFonts w:ascii="Arial" w:cs="Arial" w:eastAsia="Arial" w:hAnsi="Arial"/>
                <w:color w:val="0F172A"/>
                <w:sz w:val="21"/>
                <w:szCs w:val="21"/>
              </w:rPr>
              <w:t xml:space="preserve">Agrega cumplimiento, reclutamiento, habilitación, formación, EPP y contratos laborales.</w:t>
            </w:r>
          </w:p>
        </w:tc>
      </w:tr>
    </w:tbl>
    <w:p>
      <w:pPr>
        <w:pStyle w:val="Heading2"/>
      </w:pPr>
      <w:r>
        <w:t xml:space="preserve">Módulos incluidos</w:t>
      </w:r>
    </w:p>
    <w:p>
      <w:pPr>
        <w:pStyle w:val="ListParagraph"/>
        <w:numPr>
          <w:ilvl w:val="0"/>
          <w:numId w:val="4"/>
        </w:numPr>
        <w:spacing w:after="70" w:line="276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Todo el Plan Esencial</w:t>
      </w:r>
    </w:p>
    <w:p>
      <w:pPr>
        <w:pStyle w:val="ListParagraph"/>
        <w:numPr>
          <w:ilvl w:val="0"/>
          <w:numId w:val="4"/>
        </w:numPr>
        <w:spacing w:after="70" w:line="276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Centro de reclutamiento</w:t>
      </w:r>
    </w:p>
    <w:p>
      <w:pPr>
        <w:pStyle w:val="ListParagraph"/>
        <w:numPr>
          <w:ilvl w:val="0"/>
          <w:numId w:val="4"/>
        </w:numPr>
        <w:spacing w:after="70" w:line="276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Personal permanente y temporal</w:t>
      </w:r>
    </w:p>
    <w:p>
      <w:pPr>
        <w:pStyle w:val="ListParagraph"/>
        <w:numPr>
          <w:ilvl w:val="0"/>
          <w:numId w:val="4"/>
        </w:numPr>
        <w:spacing w:after="70" w:line="276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EPP y entregas</w:t>
      </w:r>
    </w:p>
    <w:p>
      <w:pPr>
        <w:pStyle w:val="ListParagraph"/>
        <w:numPr>
          <w:ilvl w:val="0"/>
          <w:numId w:val="4"/>
        </w:numPr>
        <w:spacing w:after="70" w:line="276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Formación y certificaciones</w:t>
      </w:r>
    </w:p>
    <w:p>
      <w:pPr>
        <w:pStyle w:val="ListParagraph"/>
        <w:numPr>
          <w:ilvl w:val="0"/>
          <w:numId w:val="4"/>
        </w:numPr>
        <w:spacing w:after="70" w:line="276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Exámenes y aptitudes</w:t>
      </w:r>
    </w:p>
    <w:p>
      <w:pPr>
        <w:pStyle w:val="ListParagraph"/>
        <w:numPr>
          <w:ilvl w:val="0"/>
          <w:numId w:val="4"/>
        </w:numPr>
        <w:spacing w:after="70" w:line="276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Cumplimiento corporativo</w:t>
      </w:r>
    </w:p>
    <w:p>
      <w:pPr>
        <w:pStyle w:val="ListParagraph"/>
        <w:numPr>
          <w:ilvl w:val="0"/>
          <w:numId w:val="4"/>
        </w:numPr>
        <w:spacing w:after="70" w:line="276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Contratos y firmas</w:t>
      </w:r>
    </w:p>
    <w:p>
      <w:pPr>
        <w:pStyle w:val="ListParagraph"/>
        <w:numPr>
          <w:ilvl w:val="0"/>
          <w:numId w:val="4"/>
        </w:numPr>
        <w:spacing w:after="70" w:line="276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Credenciales</w:t>
      </w:r>
    </w:p>
    <w:p>
      <w:pPr>
        <w:pStyle w:val="ListParagraph"/>
        <w:numPr>
          <w:ilvl w:val="0"/>
          <w:numId w:val="4"/>
        </w:numPr>
        <w:spacing w:after="70" w:line="276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Alertas avanzadas</w:t>
      </w:r>
    </w:p>
    <w:p>
      <w:pPr>
        <w:pStyle w:val="ListParagraph"/>
        <w:numPr>
          <w:ilvl w:val="0"/>
          <w:numId w:val="4"/>
        </w:numPr>
        <w:spacing w:after="70" w:line="276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Reportes de cumplimiento</w:t>
      </w:r>
    </w:p>
    <w:p>
      <w:pPr>
        <w:pStyle w:val="Heading2"/>
      </w:pPr>
      <w:r>
        <w:t xml:space="preserve">Capacidad comercial sugerida</w:t>
      </w:r>
    </w:p>
    <w:p>
      <w:pPr>
        <w:spacing w:after="120" w:before="0" w:line="300"/>
        <w:jc w:val="left"/>
      </w:pPr>
      <w:r>
        <w:rPr>
          <w:rFonts w:ascii="Arial" w:cs="Arial" w:eastAsia="Arial" w:hAnsi="Arial"/>
          <w:color w:val="0F172A"/>
          <w:sz w:val="21"/>
          <w:szCs w:val="21"/>
        </w:rPr>
        <w:t xml:space="preserve">Referencia inicial: 15 usuarios, 300 personas activas y 25 GB de almacenamiento.</w:t>
      </w:r>
    </w:p>
    <w:p>
      <w:pPr>
        <w:pStyle w:val="Heading2"/>
      </w:pPr>
      <w:r>
        <w:t xml:space="preserve">Motivo para contratar este plan</w:t>
      </w:r>
    </w:p>
    <w:p>
      <w:pPr>
        <w:spacing w:after="120" w:before="0" w:line="300"/>
        <w:jc w:val="left"/>
      </w:pPr>
      <w:r>
        <w:rPr>
          <w:rFonts w:ascii="Arial" w:cs="Arial" w:eastAsia="Arial" w:hAnsi="Arial"/>
          <w:color w:val="475569"/>
          <w:sz w:val="21"/>
          <w:szCs w:val="21"/>
        </w:rPr>
        <w:t xml:space="preserve">Controlar personas, cumplimiento y documentación antes de asignarlas a un servicio.</w:t>
      </w:r>
    </w:p>
    <w:p>
      <w:r>
        <w:br w:type="page"/>
      </w:r>
    </w:p>
    <w:p>
      <w:pPr>
        <w:pStyle w:val="Heading1"/>
        <w:spacing w:after="140"/>
      </w:pPr>
      <w:r>
        <w:t xml:space="preserve">Plan C · Operaciones</w:t>
      </w:r>
    </w:p>
    <w:p>
      <w:pPr>
        <w:spacing w:after="280" w:before="0" w:line="300"/>
        <w:jc w:val="left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Empresas que coordinan servicios en terreno, movilización y recursos operacionales.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FF6FF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pPr>
              <w:spacing w:after="80" w:before="0" w:line="300"/>
              <w:jc w:val="left"/>
            </w:pPr>
            <w:r>
              <w:rPr>
                <w:rFonts w:ascii="Arial" w:cs="Arial" w:eastAsia="Arial" w:hAnsi="Arial"/>
                <w:b/>
                <w:bCs/>
                <w:color w:val="1D4ED8"/>
                <w:sz w:val="17"/>
                <w:szCs w:val="17"/>
              </w:rPr>
              <w:t xml:space="preserve">PROPUESTA DE VALOR</w:t>
            </w:r>
          </w:p>
          <w:p>
            <w:pPr>
              <w:spacing w:after="0" w:before="0" w:line="300"/>
              <w:jc w:val="left"/>
            </w:pPr>
            <w:r>
              <w:rPr>
                <w:rFonts w:ascii="Arial" w:cs="Arial" w:eastAsia="Arial" w:hAnsi="Arial"/>
                <w:color w:val="0F172A"/>
                <w:sz w:val="21"/>
                <w:szCs w:val="21"/>
              </w:rPr>
              <w:t xml:space="preserve">Conecta personas, recursos, logística, seguridad y ejecución en terreno.</w:t>
            </w:r>
          </w:p>
        </w:tc>
      </w:tr>
    </w:tbl>
    <w:p>
      <w:pPr>
        <w:pStyle w:val="Heading2"/>
      </w:pPr>
      <w:r>
        <w:t xml:space="preserve">Módulos incluidos</w:t>
      </w:r>
    </w:p>
    <w:p>
      <w:pPr>
        <w:pStyle w:val="ListParagraph"/>
        <w:numPr>
          <w:ilvl w:val="0"/>
          <w:numId w:val="5"/>
        </w:numPr>
        <w:spacing w:after="70" w:line="276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Todo el Plan Gestión</w:t>
      </w:r>
    </w:p>
    <w:p>
      <w:pPr>
        <w:pStyle w:val="ListParagraph"/>
        <w:numPr>
          <w:ilvl w:val="0"/>
          <w:numId w:val="5"/>
        </w:numPr>
        <w:spacing w:after="70" w:line="276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Centro Operativo</w:t>
      </w:r>
    </w:p>
    <w:p>
      <w:pPr>
        <w:pStyle w:val="ListParagraph"/>
        <w:numPr>
          <w:ilvl w:val="0"/>
          <w:numId w:val="5"/>
        </w:numPr>
        <w:spacing w:after="70" w:line="276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Vehículos, activos y equipos</w:t>
      </w:r>
    </w:p>
    <w:p>
      <w:pPr>
        <w:pStyle w:val="ListParagraph"/>
        <w:numPr>
          <w:ilvl w:val="0"/>
          <w:numId w:val="5"/>
        </w:numPr>
        <w:spacing w:after="70" w:line="276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Alojamiento y estadías</w:t>
      </w:r>
    </w:p>
    <w:p>
      <w:pPr>
        <w:pStyle w:val="ListParagraph"/>
        <w:numPr>
          <w:ilvl w:val="0"/>
          <w:numId w:val="5"/>
        </w:numPr>
        <w:spacing w:after="70" w:line="276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Turnos y asistencia</w:t>
      </w:r>
    </w:p>
    <w:p>
      <w:pPr>
        <w:pStyle w:val="ListParagraph"/>
        <w:numPr>
          <w:ilvl w:val="0"/>
          <w:numId w:val="5"/>
        </w:numPr>
        <w:spacing w:after="70" w:line="276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Terceros y subcontratos</w:t>
      </w:r>
    </w:p>
    <w:p>
      <w:pPr>
        <w:pStyle w:val="ListParagraph"/>
        <w:numPr>
          <w:ilvl w:val="0"/>
          <w:numId w:val="5"/>
        </w:numPr>
        <w:spacing w:after="70" w:line="276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Inventario y stock</w:t>
      </w:r>
    </w:p>
    <w:p>
      <w:pPr>
        <w:pStyle w:val="ListParagraph"/>
        <w:numPr>
          <w:ilvl w:val="0"/>
          <w:numId w:val="5"/>
        </w:numPr>
        <w:spacing w:after="70" w:line="276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Incidentes y no conformidades</w:t>
      </w:r>
    </w:p>
    <w:p>
      <w:pPr>
        <w:pStyle w:val="ListParagraph"/>
        <w:numPr>
          <w:ilvl w:val="0"/>
          <w:numId w:val="5"/>
        </w:numPr>
        <w:spacing w:after="70" w:line="276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Salud ocupacional</w:t>
      </w:r>
    </w:p>
    <w:p>
      <w:pPr>
        <w:pStyle w:val="ListParagraph"/>
        <w:numPr>
          <w:ilvl w:val="0"/>
          <w:numId w:val="5"/>
        </w:numPr>
        <w:spacing w:after="70" w:line="276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Registro operacional</w:t>
      </w:r>
    </w:p>
    <w:p>
      <w:pPr>
        <w:pStyle w:val="ListParagraph"/>
        <w:numPr>
          <w:ilvl w:val="0"/>
          <w:numId w:val="5"/>
        </w:numPr>
        <w:spacing w:after="70" w:line="276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Acciones correctivas</w:t>
      </w:r>
    </w:p>
    <w:p>
      <w:pPr>
        <w:pStyle w:val="ListParagraph"/>
        <w:numPr>
          <w:ilvl w:val="0"/>
          <w:numId w:val="5"/>
        </w:numPr>
        <w:spacing w:after="70" w:line="276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Reportes operativos</w:t>
      </w:r>
    </w:p>
    <w:p>
      <w:pPr>
        <w:pStyle w:val="Heading2"/>
      </w:pPr>
      <w:r>
        <w:t xml:space="preserve">Capacidad comercial sugerida</w:t>
      </w:r>
    </w:p>
    <w:p>
      <w:pPr>
        <w:spacing w:after="120" w:before="0" w:line="300"/>
        <w:jc w:val="left"/>
      </w:pPr>
      <w:r>
        <w:rPr>
          <w:rFonts w:ascii="Arial" w:cs="Arial" w:eastAsia="Arial" w:hAnsi="Arial"/>
          <w:color w:val="0F172A"/>
          <w:sz w:val="21"/>
          <w:szCs w:val="21"/>
        </w:rPr>
        <w:t xml:space="preserve">Referencia inicial: 40 usuarios, 1.000 personas activas y 100 GB de almacenamiento.</w:t>
      </w:r>
    </w:p>
    <w:p>
      <w:pPr>
        <w:pStyle w:val="Heading2"/>
      </w:pPr>
      <w:r>
        <w:t xml:space="preserve">Motivo para contratar este plan</w:t>
      </w:r>
    </w:p>
    <w:p>
      <w:pPr>
        <w:spacing w:after="120" w:before="0" w:line="300"/>
        <w:jc w:val="left"/>
      </w:pPr>
      <w:r>
        <w:rPr>
          <w:rFonts w:ascii="Arial" w:cs="Arial" w:eastAsia="Arial" w:hAnsi="Arial"/>
          <w:color w:val="475569"/>
          <w:sz w:val="21"/>
          <w:szCs w:val="21"/>
        </w:rPr>
        <w:t xml:space="preserve">Coordinar la ejecución completa en terreno, incluyendo logística, recursos y seguridad.</w:t>
      </w:r>
    </w:p>
    <w:p>
      <w:r>
        <w:br w:type="page"/>
      </w:r>
    </w:p>
    <w:p>
      <w:pPr>
        <w:pStyle w:val="Heading1"/>
        <w:spacing w:after="140"/>
      </w:pPr>
      <w:r>
        <w:t xml:space="preserve">Plan D · Integral</w:t>
      </w:r>
    </w:p>
    <w:p>
      <w:pPr>
        <w:spacing w:after="280" w:before="0" w:line="300"/>
        <w:jc w:val="left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Organizaciones grandes, multisede o con necesidades de integración y personalización.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7ED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pPr>
              <w:spacing w:after="80" w:before="0" w:line="300"/>
              <w:jc w:val="left"/>
            </w:pPr>
            <w:r>
              <w:rPr>
                <w:rFonts w:ascii="Arial" w:cs="Arial" w:eastAsia="Arial" w:hAnsi="Arial"/>
                <w:b/>
                <w:bCs/>
                <w:color w:val="1D4ED8"/>
                <w:sz w:val="17"/>
                <w:szCs w:val="17"/>
              </w:rPr>
              <w:t xml:space="preserve">PROPUESTA DE VALOR</w:t>
            </w:r>
          </w:p>
          <w:p>
            <w:pPr>
              <w:spacing w:after="0" w:before="0" w:line="300"/>
              <w:jc w:val="left"/>
            </w:pPr>
            <w:r>
              <w:rPr>
                <w:rFonts w:ascii="Arial" w:cs="Arial" w:eastAsia="Arial" w:hAnsi="Arial"/>
                <w:color w:val="0F172A"/>
                <w:sz w:val="21"/>
                <w:szCs w:val="21"/>
              </w:rPr>
              <w:t xml:space="preserve">Entrega toda la plataforma, automatización avanzada, integraciones y soporte corporativo.</w:t>
            </w:r>
          </w:p>
        </w:tc>
      </w:tr>
    </w:tbl>
    <w:p>
      <w:pPr>
        <w:pStyle w:val="Heading2"/>
      </w:pPr>
      <w:r>
        <w:t xml:space="preserve">Módulos incluidos</w:t>
      </w:r>
    </w:p>
    <w:p>
      <w:pPr>
        <w:pStyle w:val="ListParagraph"/>
        <w:numPr>
          <w:ilvl w:val="0"/>
          <w:numId w:val="6"/>
        </w:numPr>
        <w:spacing w:after="70" w:line="276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Todos los módulos</w:t>
      </w:r>
    </w:p>
    <w:p>
      <w:pPr>
        <w:pStyle w:val="ListParagraph"/>
        <w:numPr>
          <w:ilvl w:val="0"/>
          <w:numId w:val="6"/>
        </w:numPr>
        <w:spacing w:after="70" w:line="276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Reportes ejecutivos y analítica avanzada</w:t>
      </w:r>
    </w:p>
    <w:p>
      <w:pPr>
        <w:pStyle w:val="ListParagraph"/>
        <w:numPr>
          <w:ilvl w:val="0"/>
          <w:numId w:val="6"/>
        </w:numPr>
        <w:spacing w:after="70" w:line="276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Correo y WhatsApp automatizados</w:t>
      </w:r>
    </w:p>
    <w:p>
      <w:pPr>
        <w:pStyle w:val="ListParagraph"/>
        <w:numPr>
          <w:ilvl w:val="0"/>
          <w:numId w:val="6"/>
        </w:numPr>
        <w:spacing w:after="70" w:line="276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Firma electrónica</w:t>
      </w:r>
    </w:p>
    <w:p>
      <w:pPr>
        <w:pStyle w:val="ListParagraph"/>
        <w:numPr>
          <w:ilvl w:val="0"/>
          <w:numId w:val="6"/>
        </w:numPr>
        <w:spacing w:after="70" w:line="276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OCR y validación documental</w:t>
      </w:r>
    </w:p>
    <w:p>
      <w:pPr>
        <w:pStyle w:val="ListParagraph"/>
        <w:numPr>
          <w:ilvl w:val="0"/>
          <w:numId w:val="6"/>
        </w:numPr>
        <w:spacing w:after="70" w:line="276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API e integración con ERP</w:t>
      </w:r>
    </w:p>
    <w:p>
      <w:pPr>
        <w:pStyle w:val="ListParagraph"/>
        <w:numPr>
          <w:ilvl w:val="0"/>
          <w:numId w:val="6"/>
        </w:numPr>
        <w:spacing w:after="70" w:line="276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Portal de revisión para clientes</w:t>
      </w:r>
    </w:p>
    <w:p>
      <w:pPr>
        <w:pStyle w:val="ListParagraph"/>
        <w:numPr>
          <w:ilvl w:val="0"/>
          <w:numId w:val="6"/>
        </w:numPr>
        <w:spacing w:after="70" w:line="276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Requisitos y formularios configurables</w:t>
      </w:r>
    </w:p>
    <w:p>
      <w:pPr>
        <w:pStyle w:val="ListParagraph"/>
        <w:numPr>
          <w:ilvl w:val="0"/>
          <w:numId w:val="6"/>
        </w:numPr>
        <w:spacing w:after="70" w:line="276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Identidad visual por empresa</w:t>
      </w:r>
    </w:p>
    <w:p>
      <w:pPr>
        <w:pStyle w:val="ListParagraph"/>
        <w:numPr>
          <w:ilvl w:val="0"/>
          <w:numId w:val="6"/>
        </w:numPr>
        <w:spacing w:after="70" w:line="276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SSO y MFA</w:t>
      </w:r>
    </w:p>
    <w:p>
      <w:pPr>
        <w:pStyle w:val="ListParagraph"/>
        <w:numPr>
          <w:ilvl w:val="0"/>
          <w:numId w:val="6"/>
        </w:numPr>
        <w:spacing w:after="70" w:line="276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Soporte prioritario y SLA</w:t>
      </w:r>
    </w:p>
    <w:p>
      <w:pPr>
        <w:pStyle w:val="Heading2"/>
      </w:pPr>
      <w:r>
        <w:t xml:space="preserve">Capacidad comercial sugerida</w:t>
      </w:r>
    </w:p>
    <w:p>
      <w:pPr>
        <w:spacing w:after="120" w:before="0" w:line="300"/>
        <w:jc w:val="left"/>
      </w:pPr>
      <w:r>
        <w:rPr>
          <w:rFonts w:ascii="Arial" w:cs="Arial" w:eastAsia="Arial" w:hAnsi="Arial"/>
          <w:color w:val="0F172A"/>
          <w:sz w:val="21"/>
          <w:szCs w:val="21"/>
        </w:rPr>
        <w:t xml:space="preserve">Capacidad, usuarios y almacenamiento definidos según contrato.</w:t>
      </w:r>
    </w:p>
    <w:p>
      <w:pPr>
        <w:pStyle w:val="Heading2"/>
      </w:pPr>
      <w:r>
        <w:t xml:space="preserve">Motivo para contratar este plan</w:t>
      </w:r>
    </w:p>
    <w:p>
      <w:pPr>
        <w:spacing w:after="120" w:before="0" w:line="300"/>
        <w:jc w:val="left"/>
      </w:pPr>
      <w:r>
        <w:rPr>
          <w:rFonts w:ascii="Arial" w:cs="Arial" w:eastAsia="Arial" w:hAnsi="Arial"/>
          <w:color w:val="475569"/>
          <w:sz w:val="21"/>
          <w:szCs w:val="21"/>
        </w:rPr>
        <w:t xml:space="preserve">Operar a escala con automatización, integraciones, personalización y soporte corporativo.</w:t>
      </w:r>
    </w:p>
    <w:p>
      <w:r>
        <w:br w:type="page"/>
      </w:r>
    </w:p>
    <w:p>
      <w:pPr>
        <w:pStyle w:val="Heading1"/>
        <w:spacing w:after="140"/>
      </w:pPr>
      <w:r>
        <w:t xml:space="preserve">Complementos comercializables</w:t>
      </w:r>
    </w:p>
    <w:p>
      <w:pPr>
        <w:spacing w:after="280" w:before="0" w:line="300"/>
        <w:jc w:val="left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Funciones que pueden venderse sin multiplicar la cantidad de planes.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346"/>
      </w:tblGrid>
      <w:tr>
        <w:trPr>
          <w:tblHeader/>
        </w:trPr>
        <w:tc>
          <w:tcPr>
            <w:tcW w:type="dxa" w:w="3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Complemento</w:t>
            </w:r>
          </w:p>
        </w:tc>
        <w:tc>
          <w:tcPr>
            <w:tcW w:type="dxa" w:w="63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Forma recomendada de cobro</w:t>
            </w:r>
          </w:p>
        </w:tc>
      </w:tr>
      <w:tr>
        <w:tc>
          <w:tcPr>
            <w:tcW w:type="dxa" w:w="3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Arial" w:cs="Arial" w:eastAsia="Arial" w:hAnsi="Arial"/>
                <w:color w:val="475569"/>
                <w:sz w:val="16"/>
                <w:szCs w:val="16"/>
              </w:rPr>
              <w:t xml:space="preserve">Firma electrónica</w:t>
            </w:r>
          </w:p>
        </w:tc>
        <w:tc>
          <w:tcPr>
            <w:tcW w:type="dxa" w:w="63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Arial" w:cs="Arial" w:eastAsia="Arial" w:hAnsi="Arial"/>
                <w:color w:val="475569"/>
                <w:sz w:val="16"/>
                <w:szCs w:val="16"/>
              </w:rPr>
              <w:t xml:space="preserve">Por sobre, firma o paquete mensual</w:t>
            </w:r>
          </w:p>
        </w:tc>
      </w:tr>
      <w:tr>
        <w:tc>
          <w:tcPr>
            <w:tcW w:type="dxa" w:w="3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Arial" w:cs="Arial" w:eastAsia="Arial" w:hAnsi="Arial"/>
                <w:color w:val="475569"/>
                <w:sz w:val="16"/>
                <w:szCs w:val="16"/>
              </w:rPr>
              <w:t xml:space="preserve">WhatsApp</w:t>
            </w:r>
          </w:p>
        </w:tc>
        <w:tc>
          <w:tcPr>
            <w:tcW w:type="dxa" w:w="63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Arial" w:cs="Arial" w:eastAsia="Arial" w:hAnsi="Arial"/>
                <w:color w:val="475569"/>
                <w:sz w:val="16"/>
                <w:szCs w:val="16"/>
              </w:rPr>
              <w:t xml:space="preserve">Por conversación, mensaje o bolsa mensual</w:t>
            </w:r>
          </w:p>
        </w:tc>
      </w:tr>
      <w:tr>
        <w:tc>
          <w:tcPr>
            <w:tcW w:type="dxa" w:w="3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Arial" w:cs="Arial" w:eastAsia="Arial" w:hAnsi="Arial"/>
                <w:color w:val="475569"/>
                <w:sz w:val="16"/>
                <w:szCs w:val="16"/>
              </w:rPr>
              <w:t xml:space="preserve">OCR y validación documental</w:t>
            </w:r>
          </w:p>
        </w:tc>
        <w:tc>
          <w:tcPr>
            <w:tcW w:type="dxa" w:w="63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Arial" w:cs="Arial" w:eastAsia="Arial" w:hAnsi="Arial"/>
                <w:color w:val="475569"/>
                <w:sz w:val="16"/>
                <w:szCs w:val="16"/>
              </w:rPr>
              <w:t xml:space="preserve">Por documento procesado</w:t>
            </w:r>
          </w:p>
        </w:tc>
      </w:tr>
      <w:tr>
        <w:tc>
          <w:tcPr>
            <w:tcW w:type="dxa" w:w="3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Arial" w:cs="Arial" w:eastAsia="Arial" w:hAnsi="Arial"/>
                <w:color w:val="475569"/>
                <w:sz w:val="16"/>
                <w:szCs w:val="16"/>
              </w:rPr>
              <w:t xml:space="preserve">Almacenamiento adicional</w:t>
            </w:r>
          </w:p>
        </w:tc>
        <w:tc>
          <w:tcPr>
            <w:tcW w:type="dxa" w:w="63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Arial" w:cs="Arial" w:eastAsia="Arial" w:hAnsi="Arial"/>
                <w:color w:val="475569"/>
                <w:sz w:val="16"/>
                <w:szCs w:val="16"/>
              </w:rPr>
              <w:t xml:space="preserve">Por bloque de GB mensuales</w:t>
            </w:r>
          </w:p>
        </w:tc>
      </w:tr>
      <w:tr>
        <w:tc>
          <w:tcPr>
            <w:tcW w:type="dxa" w:w="3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Arial" w:cs="Arial" w:eastAsia="Arial" w:hAnsi="Arial"/>
                <w:color w:val="475569"/>
                <w:sz w:val="16"/>
                <w:szCs w:val="16"/>
              </w:rPr>
              <w:t xml:space="preserve">Usuarios adicionales</w:t>
            </w:r>
          </w:p>
        </w:tc>
        <w:tc>
          <w:tcPr>
            <w:tcW w:type="dxa" w:w="63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Arial" w:cs="Arial" w:eastAsia="Arial" w:hAnsi="Arial"/>
                <w:color w:val="475569"/>
                <w:sz w:val="16"/>
                <w:szCs w:val="16"/>
              </w:rPr>
              <w:t xml:space="preserve">Por usuario adicional al mes</w:t>
            </w:r>
          </w:p>
        </w:tc>
      </w:tr>
      <w:tr>
        <w:tc>
          <w:tcPr>
            <w:tcW w:type="dxa" w:w="3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Arial" w:cs="Arial" w:eastAsia="Arial" w:hAnsi="Arial"/>
                <w:color w:val="475569"/>
                <w:sz w:val="16"/>
                <w:szCs w:val="16"/>
              </w:rPr>
              <w:t xml:space="preserve">Personas activas adicionales</w:t>
            </w:r>
          </w:p>
        </w:tc>
        <w:tc>
          <w:tcPr>
            <w:tcW w:type="dxa" w:w="63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Arial" w:cs="Arial" w:eastAsia="Arial" w:hAnsi="Arial"/>
                <w:color w:val="475569"/>
                <w:sz w:val="16"/>
                <w:szCs w:val="16"/>
              </w:rPr>
              <w:t xml:space="preserve">Por persona activa al mes</w:t>
            </w:r>
          </w:p>
        </w:tc>
      </w:tr>
      <w:tr>
        <w:tc>
          <w:tcPr>
            <w:tcW w:type="dxa" w:w="3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Arial" w:cs="Arial" w:eastAsia="Arial" w:hAnsi="Arial"/>
                <w:color w:val="475569"/>
                <w:sz w:val="16"/>
                <w:szCs w:val="16"/>
              </w:rPr>
              <w:t xml:space="preserve">Integración ERP / API</w:t>
            </w:r>
          </w:p>
        </w:tc>
        <w:tc>
          <w:tcPr>
            <w:tcW w:type="dxa" w:w="63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Arial" w:cs="Arial" w:eastAsia="Arial" w:hAnsi="Arial"/>
                <w:color w:val="475569"/>
                <w:sz w:val="16"/>
                <w:szCs w:val="16"/>
              </w:rPr>
              <w:t xml:space="preserve">Implementación más mantenimiento mensual</w:t>
            </w:r>
          </w:p>
        </w:tc>
      </w:tr>
      <w:tr>
        <w:tc>
          <w:tcPr>
            <w:tcW w:type="dxa" w:w="3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Arial" w:cs="Arial" w:eastAsia="Arial" w:hAnsi="Arial"/>
                <w:color w:val="475569"/>
                <w:sz w:val="16"/>
                <w:szCs w:val="16"/>
              </w:rPr>
              <w:t xml:space="preserve">SSO corporativo</w:t>
            </w:r>
          </w:p>
        </w:tc>
        <w:tc>
          <w:tcPr>
            <w:tcW w:type="dxa" w:w="63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Arial" w:cs="Arial" w:eastAsia="Arial" w:hAnsi="Arial"/>
                <w:color w:val="475569"/>
                <w:sz w:val="16"/>
                <w:szCs w:val="16"/>
              </w:rPr>
              <w:t xml:space="preserve">Cargo mensual por empresa</w:t>
            </w:r>
          </w:p>
        </w:tc>
      </w:tr>
      <w:tr>
        <w:tc>
          <w:tcPr>
            <w:tcW w:type="dxa" w:w="3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Arial" w:cs="Arial" w:eastAsia="Arial" w:hAnsi="Arial"/>
                <w:color w:val="475569"/>
                <w:sz w:val="16"/>
                <w:szCs w:val="16"/>
              </w:rPr>
              <w:t xml:space="preserve">Identidad visual personalizada</w:t>
            </w:r>
          </w:p>
        </w:tc>
        <w:tc>
          <w:tcPr>
            <w:tcW w:type="dxa" w:w="63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Arial" w:cs="Arial" w:eastAsia="Arial" w:hAnsi="Arial"/>
                <w:color w:val="475569"/>
                <w:sz w:val="16"/>
                <w:szCs w:val="16"/>
              </w:rPr>
              <w:t xml:space="preserve">Configuración inicial más mantenimiento</w:t>
            </w:r>
          </w:p>
        </w:tc>
      </w:tr>
      <w:tr>
        <w:tc>
          <w:tcPr>
            <w:tcW w:type="dxa" w:w="3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Arial" w:cs="Arial" w:eastAsia="Arial" w:hAnsi="Arial"/>
                <w:color w:val="475569"/>
                <w:sz w:val="16"/>
                <w:szCs w:val="16"/>
              </w:rPr>
              <w:t xml:space="preserve">Migración y capacitación</w:t>
            </w:r>
          </w:p>
        </w:tc>
        <w:tc>
          <w:tcPr>
            <w:tcW w:type="dxa" w:w="63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Arial" w:cs="Arial" w:eastAsia="Arial" w:hAnsi="Arial"/>
                <w:color w:val="475569"/>
                <w:sz w:val="16"/>
                <w:szCs w:val="16"/>
              </w:rPr>
              <w:t xml:space="preserve">Proyecto de implementación único</w:t>
            </w:r>
          </w:p>
        </w:tc>
      </w:tr>
    </w:tbl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7ED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pPr>
              <w:spacing w:after="80" w:before="0" w:line="300"/>
              <w:jc w:val="left"/>
            </w:pPr>
            <w:r>
              <w:rPr>
                <w:rFonts w:ascii="Arial" w:cs="Arial" w:eastAsia="Arial" w:hAnsi="Arial"/>
                <w:b/>
                <w:bCs/>
                <w:color w:val="1D4ED8"/>
                <w:sz w:val="17"/>
                <w:szCs w:val="17"/>
              </w:rPr>
              <w:t xml:space="preserve">CRITERIO</w:t>
            </w:r>
          </w:p>
          <w:p>
            <w:pPr>
              <w:spacing w:after="0" w:before="0" w:line="300"/>
              <w:jc w:val="left"/>
            </w:pPr>
            <w:r>
              <w:rPr>
                <w:rFonts w:ascii="Arial" w:cs="Arial" w:eastAsia="Arial" w:hAnsi="Arial"/>
                <w:color w:val="0F172A"/>
                <w:sz w:val="21"/>
                <w:szCs w:val="21"/>
              </w:rPr>
              <w:t xml:space="preserve">Los costos variables de proveedores externos deben trasladarse al cliente con margen y límites transparentes.</w:t>
            </w:r>
          </w:p>
        </w:tc>
      </w:tr>
    </w:tbl>
    <w:p>
      <w:r>
        <w:br w:type="page"/>
      </w:r>
    </w:p>
    <w:p>
      <w:pPr>
        <w:pStyle w:val="Heading1"/>
        <w:spacing w:after="140"/>
      </w:pPr>
      <w:r>
        <w:t xml:space="preserve">Modelo de cobro recomendado</w:t>
      </w:r>
    </w:p>
    <w:p>
      <w:pPr>
        <w:spacing w:after="280" w:before="0" w:line="300"/>
        <w:jc w:val="left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Estructura simple para vender y escalar.</w:t>
      </w:r>
    </w:p>
    <w:p>
      <w:pPr>
        <w:spacing w:after="320" w:before="260"/>
        <w:jc w:val="center"/>
      </w:pPr>
      <w:r>
        <w:rPr>
          <w:rFonts w:ascii="Arial" w:cs="Arial" w:eastAsia="Arial" w:hAnsi="Arial"/>
          <w:b/>
          <w:bCs/>
          <w:color w:val="1D4ED8"/>
          <w:sz w:val="28"/>
          <w:szCs w:val="28"/>
        </w:rPr>
        <w:t xml:space="preserve">Cargo base mensual</w:t>
      </w:r>
      <w:r>
        <w:rPr>
          <w:rFonts w:ascii="Arial" w:cs="Arial" w:eastAsia="Arial" w:hAnsi="Arial"/>
          <w:b/>
          <w:bCs/>
          <w:color w:val="F97316"/>
          <w:sz w:val="28"/>
          <w:szCs w:val="28"/>
        </w:rPr>
        <w:t xml:space="preserve">  +  </w:t>
      </w:r>
      <w:r>
        <w:rPr>
          <w:rFonts w:ascii="Arial" w:cs="Arial" w:eastAsia="Arial" w:hAnsi="Arial"/>
          <w:b/>
          <w:bCs/>
          <w:color w:val="1D4ED8"/>
          <w:sz w:val="28"/>
          <w:szCs w:val="28"/>
        </w:rPr>
        <w:t xml:space="preserve">personas activas adicionales</w:t>
      </w:r>
      <w:r>
        <w:rPr>
          <w:rFonts w:ascii="Arial" w:cs="Arial" w:eastAsia="Arial" w:hAnsi="Arial"/>
          <w:b/>
          <w:bCs/>
          <w:color w:val="F97316"/>
          <w:sz w:val="28"/>
          <w:szCs w:val="28"/>
        </w:rPr>
        <w:t xml:space="preserve">  +  </w:t>
      </w:r>
      <w:r>
        <w:rPr>
          <w:rFonts w:ascii="Arial" w:cs="Arial" w:eastAsia="Arial" w:hAnsi="Arial"/>
          <w:b/>
          <w:bCs/>
          <w:color w:val="1D4ED8"/>
          <w:sz w:val="28"/>
          <w:szCs w:val="28"/>
        </w:rPr>
        <w:t xml:space="preserve">complementos utilizados</w:t>
      </w:r>
    </w:p>
    <w:p>
      <w:pPr>
        <w:pStyle w:val="Heading2"/>
      </w:pPr>
      <w:r>
        <w:t xml:space="preserve">Condiciones comerciales sugeridas</w:t>
      </w:r>
    </w:p>
    <w:p>
      <w:pPr>
        <w:pStyle w:val="ListParagraph"/>
        <w:numPr>
          <w:ilvl w:val="0"/>
          <w:numId w:val="7"/>
        </w:numPr>
        <w:spacing w:after="70" w:line="276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Cobro único de implementación, parametrización y capacitación.</w:t>
      </w:r>
    </w:p>
    <w:p>
      <w:pPr>
        <w:pStyle w:val="ListParagraph"/>
        <w:numPr>
          <w:ilvl w:val="0"/>
          <w:numId w:val="7"/>
        </w:numPr>
        <w:spacing w:after="70" w:line="276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Contrato mínimo sugerido de 12 meses.</w:t>
      </w:r>
    </w:p>
    <w:p>
      <w:pPr>
        <w:pStyle w:val="ListParagraph"/>
        <w:numPr>
          <w:ilvl w:val="0"/>
          <w:numId w:val="7"/>
        </w:numPr>
        <w:spacing w:after="70" w:line="276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Descuento por pago anual anticipado.</w:t>
      </w:r>
    </w:p>
    <w:p>
      <w:pPr>
        <w:pStyle w:val="ListParagraph"/>
        <w:numPr>
          <w:ilvl w:val="0"/>
          <w:numId w:val="7"/>
        </w:numPr>
        <w:spacing w:after="70" w:line="276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Prueba controlada de 14 o 30 días con alcance limitado.</w:t>
      </w:r>
    </w:p>
    <w:p>
      <w:pPr>
        <w:pStyle w:val="ListParagraph"/>
        <w:numPr>
          <w:ilvl w:val="0"/>
          <w:numId w:val="7"/>
        </w:numPr>
        <w:spacing w:after="70" w:line="276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Plan piloto con acompañamiento para construir casos de éxito.</w:t>
      </w:r>
    </w:p>
    <w:p>
      <w:pPr>
        <w:pStyle w:val="ListParagraph"/>
        <w:numPr>
          <w:ilvl w:val="0"/>
          <w:numId w:val="7"/>
        </w:numPr>
        <w:spacing w:after="70" w:line="276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Revisión anual de límites, costos de terceros y almacenamiento.</w:t>
      </w:r>
    </w:p>
    <w:p>
      <w:pPr>
        <w:spacing w:after="120" w:before="140" w:line="300"/>
        <w:jc w:val="left"/>
      </w:pPr>
      <w:r>
        <w:rPr>
          <w:rFonts w:ascii="Arial" w:cs="Arial" w:eastAsia="Arial" w:hAnsi="Arial"/>
          <w:color w:val="475569"/>
          <w:sz w:val="19"/>
          <w:szCs w:val="19"/>
        </w:rPr>
        <w:t xml:space="preserve">Los precios no se incluyen en este documento. Deben definirse después de calcular costo de infraestructura, soporte, ventas, proveedores externos y margen objetivo.</w:t>
      </w:r>
    </w:p>
    <w:p>
      <w:r>
        <w:br w:type="page"/>
      </w:r>
    </w:p>
    <w:p>
      <w:pPr>
        <w:pStyle w:val="Heading1"/>
        <w:spacing w:after="140"/>
      </w:pPr>
      <w:r>
        <w:t xml:space="preserve">Requerimientos para operar los planes</w:t>
      </w:r>
    </w:p>
    <w:p>
      <w:pPr>
        <w:spacing w:after="280" w:before="0" w:line="300"/>
        <w:jc w:val="left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Capacidades necesarias en producto, administración y arquitectura.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7046"/>
      </w:tblGrid>
      <w:tr>
        <w:trPr>
          <w:tblHeader/>
        </w:trPr>
        <w:tc>
          <w:tcPr>
            <w:tcW w:type="dxa" w:w="27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Componente</w:t>
            </w:r>
          </w:p>
        </w:tc>
        <w:tc>
          <w:tcPr>
            <w:tcW w:type="dxa" w:w="70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Requerimiento</w:t>
            </w:r>
          </w:p>
        </w:tc>
      </w:tr>
      <w:tr>
        <w:tc>
          <w:tcPr>
            <w:tcW w:type="dxa" w:w="27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Arial" w:cs="Arial" w:eastAsia="Arial" w:hAnsi="Arial"/>
                <w:color w:val="475569"/>
                <w:sz w:val="16"/>
                <w:szCs w:val="16"/>
              </w:rPr>
              <w:t xml:space="preserve">Suscripción por empresa</w:t>
            </w:r>
          </w:p>
        </w:tc>
        <w:tc>
          <w:tcPr>
            <w:tcW w:type="dxa" w:w="70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Arial" w:cs="Arial" w:eastAsia="Arial" w:hAnsi="Arial"/>
                <w:color w:val="475569"/>
                <w:sz w:val="16"/>
                <w:szCs w:val="16"/>
              </w:rPr>
              <w:t xml:space="preserve">Plan, estado, inicio, renovación, prueba y cancelación</w:t>
            </w:r>
          </w:p>
        </w:tc>
      </w:tr>
      <w:tr>
        <w:tc>
          <w:tcPr>
            <w:tcW w:type="dxa" w:w="27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Arial" w:cs="Arial" w:eastAsia="Arial" w:hAnsi="Arial"/>
                <w:color w:val="475569"/>
                <w:sz w:val="16"/>
                <w:szCs w:val="16"/>
              </w:rPr>
              <w:t xml:space="preserve">Permisos por plan</w:t>
            </w:r>
          </w:p>
        </w:tc>
        <w:tc>
          <w:tcPr>
            <w:tcW w:type="dxa" w:w="70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Arial" w:cs="Arial" w:eastAsia="Arial" w:hAnsi="Arial"/>
                <w:color w:val="475569"/>
                <w:sz w:val="16"/>
                <w:szCs w:val="16"/>
              </w:rPr>
              <w:t xml:space="preserve">Activación de módulos y funcionalidades según contrato</w:t>
            </w:r>
          </w:p>
        </w:tc>
      </w:tr>
      <w:tr>
        <w:tc>
          <w:tcPr>
            <w:tcW w:type="dxa" w:w="27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Arial" w:cs="Arial" w:eastAsia="Arial" w:hAnsi="Arial"/>
                <w:color w:val="475569"/>
                <w:sz w:val="16"/>
                <w:szCs w:val="16"/>
              </w:rPr>
              <w:t xml:space="preserve">Cuotas</w:t>
            </w:r>
          </w:p>
        </w:tc>
        <w:tc>
          <w:tcPr>
            <w:tcW w:type="dxa" w:w="70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Arial" w:cs="Arial" w:eastAsia="Arial" w:hAnsi="Arial"/>
                <w:color w:val="475569"/>
                <w:sz w:val="16"/>
                <w:szCs w:val="16"/>
              </w:rPr>
              <w:t xml:space="preserve">Usuarios, personas activas, almacenamiento, documentos y mensajes</w:t>
            </w:r>
          </w:p>
        </w:tc>
      </w:tr>
      <w:tr>
        <w:tc>
          <w:tcPr>
            <w:tcW w:type="dxa" w:w="27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Arial" w:cs="Arial" w:eastAsia="Arial" w:hAnsi="Arial"/>
                <w:color w:val="475569"/>
                <w:sz w:val="16"/>
                <w:szCs w:val="16"/>
              </w:rPr>
              <w:t xml:space="preserve">Medición</w:t>
            </w:r>
          </w:p>
        </w:tc>
        <w:tc>
          <w:tcPr>
            <w:tcW w:type="dxa" w:w="70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Arial" w:cs="Arial" w:eastAsia="Arial" w:hAnsi="Arial"/>
                <w:color w:val="475569"/>
                <w:sz w:val="16"/>
                <w:szCs w:val="16"/>
              </w:rPr>
              <w:t xml:space="preserve">Registro mensual de consumo y alertas por límite</w:t>
            </w:r>
          </w:p>
        </w:tc>
      </w:tr>
      <w:tr>
        <w:tc>
          <w:tcPr>
            <w:tcW w:type="dxa" w:w="27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Arial" w:cs="Arial" w:eastAsia="Arial" w:hAnsi="Arial"/>
                <w:color w:val="475569"/>
                <w:sz w:val="16"/>
                <w:szCs w:val="16"/>
              </w:rPr>
              <w:t xml:space="preserve">Administración</w:t>
            </w:r>
          </w:p>
        </w:tc>
        <w:tc>
          <w:tcPr>
            <w:tcW w:type="dxa" w:w="70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Arial" w:cs="Arial" w:eastAsia="Arial" w:hAnsi="Arial"/>
                <w:color w:val="475569"/>
                <w:sz w:val="16"/>
                <w:szCs w:val="16"/>
              </w:rPr>
              <w:t xml:space="preserve">Cambio de plan, suspensión, ampliación y soporte desde la cuenta Nexo Klar</w:t>
            </w:r>
          </w:p>
        </w:tc>
      </w:tr>
      <w:tr>
        <w:tc>
          <w:tcPr>
            <w:tcW w:type="dxa" w:w="27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Arial" w:cs="Arial" w:eastAsia="Arial" w:hAnsi="Arial"/>
                <w:color w:val="475569"/>
                <w:sz w:val="16"/>
                <w:szCs w:val="16"/>
              </w:rPr>
              <w:t xml:space="preserve">Cobranza</w:t>
            </w:r>
          </w:p>
        </w:tc>
        <w:tc>
          <w:tcPr>
            <w:tcW w:type="dxa" w:w="70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Arial" w:cs="Arial" w:eastAsia="Arial" w:hAnsi="Arial"/>
                <w:color w:val="475569"/>
                <w:sz w:val="16"/>
                <w:szCs w:val="16"/>
              </w:rPr>
              <w:t xml:space="preserve">Facturación recurrente, comprobantes, mora y reactivación</w:t>
            </w:r>
          </w:p>
        </w:tc>
      </w:tr>
      <w:tr>
        <w:tc>
          <w:tcPr>
            <w:tcW w:type="dxa" w:w="27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Arial" w:cs="Arial" w:eastAsia="Arial" w:hAnsi="Arial"/>
                <w:color w:val="475569"/>
                <w:sz w:val="16"/>
                <w:szCs w:val="16"/>
              </w:rPr>
              <w:t xml:space="preserve">Experiencia</w:t>
            </w:r>
          </w:p>
        </w:tc>
        <w:tc>
          <w:tcPr>
            <w:tcW w:type="dxa" w:w="70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Arial" w:cs="Arial" w:eastAsia="Arial" w:hAnsi="Arial"/>
                <w:color w:val="475569"/>
                <w:sz w:val="16"/>
                <w:szCs w:val="16"/>
              </w:rPr>
              <w:t xml:space="preserve">Comparación de planes y aviso claro al intentar usar una función superior</w:t>
            </w:r>
          </w:p>
        </w:tc>
      </w:tr>
      <w:tr>
        <w:tc>
          <w:tcPr>
            <w:tcW w:type="dxa" w:w="27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Arial" w:cs="Arial" w:eastAsia="Arial" w:hAnsi="Arial"/>
                <w:color w:val="475569"/>
                <w:sz w:val="16"/>
                <w:szCs w:val="16"/>
              </w:rPr>
              <w:t xml:space="preserve">Auditoría</w:t>
            </w:r>
          </w:p>
        </w:tc>
        <w:tc>
          <w:tcPr>
            <w:tcW w:type="dxa" w:w="70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Arial" w:cs="Arial" w:eastAsia="Arial" w:hAnsi="Arial"/>
                <w:color w:val="475569"/>
                <w:sz w:val="16"/>
                <w:szCs w:val="16"/>
              </w:rPr>
              <w:t xml:space="preserve">Registro de cambios de plan, límites, accesos y administradores</w:t>
            </w:r>
          </w:p>
        </w:tc>
      </w:tr>
    </w:tbl>
    <w:p>
      <w:r>
        <w:br w:type="page"/>
      </w:r>
    </w:p>
    <w:p>
      <w:pPr>
        <w:pStyle w:val="Heading1"/>
        <w:spacing w:after="140"/>
      </w:pPr>
      <w:r>
        <w:t xml:space="preserve">Propuesta para aprobación</w:t>
      </w:r>
    </w:p>
    <w:p>
      <w:pPr>
        <w:spacing w:after="280" w:before="0" w:line="300"/>
        <w:jc w:val="left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Decisiones recomendadas al Directorio de Nexo Klar.</w:t>
      </w:r>
    </w:p>
    <w:p>
      <w:pPr>
        <w:pStyle w:val="Heading2"/>
      </w:pPr>
      <w:r>
        <w:t xml:space="preserve">Aprobar</w:t>
      </w:r>
    </w:p>
    <w:p>
      <w:pPr>
        <w:pStyle w:val="ListParagraph"/>
        <w:numPr>
          <w:ilvl w:val="0"/>
          <w:numId w:val="8"/>
        </w:numPr>
        <w:spacing w:after="70" w:line="276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Oferta comercial de cuatro planes: Esencial, Gestión, Operaciones e Integral.</w:t>
      </w:r>
    </w:p>
    <w:p>
      <w:pPr>
        <w:pStyle w:val="ListParagraph"/>
        <w:numPr>
          <w:ilvl w:val="0"/>
          <w:numId w:val="8"/>
        </w:numPr>
        <w:spacing w:after="70" w:line="276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Modelo de cobro base mensual más personas activas y complementos.</w:t>
      </w:r>
    </w:p>
    <w:p>
      <w:pPr>
        <w:pStyle w:val="ListParagraph"/>
        <w:numPr>
          <w:ilvl w:val="0"/>
          <w:numId w:val="8"/>
        </w:numPr>
        <w:spacing w:after="70" w:line="276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Seguridad, privacidad, roles y separación de datos incluidos en todos los planes.</w:t>
      </w:r>
    </w:p>
    <w:p>
      <w:pPr>
        <w:pStyle w:val="ListParagraph"/>
        <w:numPr>
          <w:ilvl w:val="0"/>
          <w:numId w:val="8"/>
        </w:numPr>
        <w:spacing w:after="70" w:line="276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Implementación y migración inicial como servicio independiente.</w:t>
      </w:r>
    </w:p>
    <w:p>
      <w:pPr>
        <w:pStyle w:val="ListParagraph"/>
        <w:numPr>
          <w:ilvl w:val="0"/>
          <w:numId w:val="8"/>
        </w:numPr>
        <w:spacing w:after="70" w:line="276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Validación de límites y disposición de pago mediante clientes piloto.</w:t>
      </w:r>
    </w:p>
    <w:p>
      <w:pPr>
        <w:pStyle w:val="Heading2"/>
      </w:pPr>
      <w:r>
        <w:t xml:space="preserve">Siguiente etapa</w:t>
      </w:r>
    </w:p>
    <w:p>
      <w:pPr>
        <w:pStyle w:val="ListParagraph"/>
        <w:numPr>
          <w:ilvl w:val="0"/>
          <w:numId w:val="9"/>
        </w:numPr>
        <w:spacing w:after="70" w:line="276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Definir costos internos y margen objetivo.</w:t>
      </w:r>
    </w:p>
    <w:p>
      <w:pPr>
        <w:pStyle w:val="ListParagraph"/>
        <w:numPr>
          <w:ilvl w:val="0"/>
          <w:numId w:val="9"/>
        </w:numPr>
        <w:spacing w:after="70" w:line="276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Establecer precios y descuentos por pago anual.</w:t>
      </w:r>
    </w:p>
    <w:p>
      <w:pPr>
        <w:pStyle w:val="ListParagraph"/>
        <w:numPr>
          <w:ilvl w:val="0"/>
          <w:numId w:val="9"/>
        </w:numPr>
        <w:spacing w:after="70" w:line="276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Implementar el motor de suscripciones y límites por empresa.</w:t>
      </w:r>
    </w:p>
    <w:p>
      <w:pPr>
        <w:pStyle w:val="ListParagraph"/>
        <w:numPr>
          <w:ilvl w:val="0"/>
          <w:numId w:val="9"/>
        </w:numPr>
        <w:spacing w:after="70" w:line="276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Preparar fichas comerciales y demostraciones para cada plan.</w:t>
      </w:r>
    </w:p>
    <w:p>
      <w:pPr>
        <w:pStyle w:val="ListParagraph"/>
        <w:numPr>
          <w:ilvl w:val="0"/>
          <w:numId w:val="9"/>
        </w:numPr>
        <w:spacing w:after="70" w:line="276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Realizar pilotos y ajustar el empaquetamiento según uso real.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7ED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pPr>
              <w:spacing w:after="80" w:before="0" w:line="300"/>
              <w:jc w:val="left"/>
            </w:pPr>
            <w:r>
              <w:rPr>
                <w:rFonts w:ascii="Arial" w:cs="Arial" w:eastAsia="Arial" w:hAnsi="Arial"/>
                <w:b/>
                <w:bCs/>
                <w:color w:val="1D4ED8"/>
                <w:sz w:val="17"/>
                <w:szCs w:val="17"/>
              </w:rPr>
              <w:t xml:space="preserve">CONCLUSIÓN</w:t>
            </w:r>
          </w:p>
          <w:p>
            <w:pPr>
              <w:spacing w:after="0" w:before="0" w:line="300"/>
              <w:jc w:val="left"/>
            </w:pPr>
            <w:r>
              <w:rPr>
                <w:rFonts w:ascii="Arial" w:cs="Arial" w:eastAsia="Arial" w:hAnsi="Arial"/>
                <w:color w:val="0F172A"/>
                <w:sz w:val="21"/>
                <w:szCs w:val="21"/>
              </w:rPr>
              <w:t xml:space="preserve">La estructura de cuatro planes permite captar empresas pequeñas, acompañar su crecimiento y reservar las capacidades de mayor valor para clientes operativos y corporativos.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475569"/>
        <w:sz w:val="15"/>
        <w:szCs w:val="15"/>
      </w:rPr>
      <w:t xml:space="preserve">Documento confidencial · Nexo Klar  |  </w:t>
    </w:r>
    <w:r>
      <w:rPr>
        <w:rFonts w:ascii="Arial" w:cs="Arial" w:eastAsia="Arial" w:hAnsi="Arial"/>
        <w:color w:val="475569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b/>
        <w:bCs/>
        <w:color w:val="1D4ED8"/>
        <w:sz w:val="15"/>
        <w:szCs w:val="15"/>
      </w:rPr>
      <w:t xml:space="preserve">NEXO KLAR · DIRECTORIO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4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4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40" w:hanging="24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40" w:hanging="240"/>
      </w:pPr>
    </w:lvl>
  </w:abstractNum>
  <w:abstractNum w:abstractNumId="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40" w:hanging="240"/>
      </w:pPr>
    </w:lvl>
  </w:abstractNum>
  <w:abstractNum w:abstractNumId="7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40" w:hanging="240"/>
      </w:pPr>
    </w:lvl>
  </w:abstractNum>
  <w:abstractNum w:abstractNumId="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40" w:hanging="24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40" w:hanging="24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40" w:hanging="2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7"/>
    <w:lvlOverride w:ilvl="0">
      <w:startOverride w:val="1"/>
    </w:lvlOverride>
  </w:num>
  <w:num w:numId="7">
    <w:abstractNumId w:val="8"/>
    <w:lvlOverride w:ilvl="0">
      <w:startOverride w:val="1"/>
    </w:lvlOverride>
  </w:num>
  <w:num w:numId="8">
    <w:abstractNumId w:val="9"/>
    <w:lvlOverride w:ilvl="0">
      <w:startOverride w:val="1"/>
    </w:lvlOverride>
  </w:num>
  <w:num w:numId="9">
    <w:abstractNumId w:val="10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475569"/>
        <w:sz w:val="21"/>
        <w:szCs w:val="21"/>
      </w:rPr>
    </w:rPrDefault>
    <w:pPrDefault>
      <w:pPr>
        <w:spacing w:after="1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0"/>
      <w:outlineLvl w:val="0"/>
    </w:pPr>
    <w:rPr>
      <w:rFonts w:ascii="Arial" w:cs="Arial" w:eastAsia="Arial" w:hAnsi="Arial"/>
      <w:b/>
      <w:bCs/>
      <w:color w:val="0F172A"/>
      <w:sz w:val="38"/>
      <w:szCs w:val="38"/>
    </w:rPr>
  </w:style>
  <w:style w:type="paragraph" w:styleId="Heading2">
    <w:name w:val="Heading 2"/>
    <w:basedOn w:val="Normal"/>
    <w:next w:val="Normal"/>
    <w:qFormat/>
    <w:pPr>
      <w:spacing w:after="130" w:before="260"/>
      <w:outlineLvl w:val="1"/>
    </w:pPr>
    <w:rPr>
      <w:rFonts w:ascii="Arial" w:cs="Arial" w:eastAsia="Arial" w:hAnsi="Arial"/>
      <w:b/>
      <w:bCs/>
      <w:color w:val="0F172A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Arial" w:cs="Arial" w:eastAsia="Arial" w:hAnsi="Arial"/>
      <w:b/>
      <w:bCs/>
      <w:color w:val="1D4ED8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Propuesta de Planes SaaS Nexo Klar</dc:title>
  <dc:creator>Nexo Klar</dc:creator>
  <dc:description>Documento ejecutivo para Directorio</dc:description>
  <cp:lastModifiedBy>Un-named</cp:lastModifiedBy>
  <cp:revision>1</cp:revision>
  <dcterms:created xsi:type="dcterms:W3CDTF">2026-07-28T16:44:56.478Z</dcterms:created>
  <dcterms:modified xsi:type="dcterms:W3CDTF">2026-07-28T16:44:56.485Z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