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</w:pPr>
      <w:r>
        <w:rPr>
          <w:rFonts w:ascii="Arial" w:hAnsi="Arial"/>
          <w:b/>
          <w:color w:val="0F766E"/>
          <w:sz w:val="26"/>
        </w:rPr>
        <w:t>NEXO KLAR SPA</w:t>
      </w:r>
    </w:p>
    <w:p>
      <w:pPr>
        <w:spacing w:after="240"/>
      </w:pPr>
      <w:r>
        <w:rPr>
          <w:rFonts w:ascii="Arial" w:hAnsi="Arial"/>
          <w:b/>
          <w:color w:val="121826"/>
          <w:sz w:val="70"/>
        </w:rPr>
        <w:t>Oferta comercial SaaS</w:t>
        <w:br/>
        <w:t>unificada</w:t>
      </w:r>
    </w:p>
    <w:p>
      <w:pPr>
        <w:spacing w:after="480"/>
      </w:pPr>
      <w:r>
        <w:rPr>
          <w:rFonts w:ascii="Arial" w:hAnsi="Arial"/>
          <w:color w:val="536177"/>
          <w:sz w:val="30"/>
        </w:rPr>
        <w:t>Dos líneas de servicio, seis opciones de capacidad y una ruta clara desde las personas hasta el control total de la operación.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1800"/>
            <w:tcBorders>
              <w:top w:val="single" w:sz="8" w:color="9BE5DC"/>
              <w:left w:val="single" w:sz="8" w:color="9BE5DC"/>
              <w:bottom w:val="single" w:sz="8" w:color="9BE5DC"/>
              <w:right w:val="single" w:sz="8" w:color="9BE5DC"/>
            </w:tcBorders>
            <w:shd w:fill="EAFBF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766E"/>
                <w:sz w:val="18"/>
              </w:rPr>
              <w:t>PROPUESTA</w:t>
            </w:r>
          </w:p>
        </w:tc>
        <w:tc>
          <w:tcPr>
            <w:tcW w:type="dxa" w:w="8280"/>
            <w:tcBorders>
              <w:top w:val="single" w:sz="8" w:color="9BE5DC"/>
              <w:left w:val="single" w:sz="8" w:color="9BE5DC"/>
              <w:bottom w:val="single" w:sz="8" w:color="9BE5DC"/>
              <w:right w:val="single" w:sz="8" w:color="9BE5DC"/>
            </w:tcBorders>
            <w:shd w:fill="EAFBF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8"/>
              </w:rPr>
              <w:t>Nexo Klar ordena personas, cumplimiento, órdenes, recursos y evidencia en una misma plataforma. El cliente escala por necesidad real, sin perder información ni historial.</w:t>
            </w:r>
          </w:p>
        </w:tc>
      </w:tr>
    </w:tbl>
    <w:p>
      <w:pPr>
        <w:spacing w:after="60"/>
      </w:pPr>
    </w:p>
    <w:p>
      <w:pPr>
        <w:spacing w:before="200" w:after="60"/>
      </w:pPr>
      <w:r>
        <w:rPr>
          <w:rFonts w:ascii="Arial" w:hAnsi="Arial"/>
          <w:b/>
          <w:color w:val="312E81"/>
          <w:sz w:val="32"/>
        </w:rPr>
        <w:t>Cómo leer esta propuesta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232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Línea</w:t>
            </w:r>
          </w:p>
        </w:tc>
        <w:tc>
          <w:tcPr>
            <w:tcW w:type="dxa" w:w="4608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Qué resuelve</w:t>
            </w:r>
          </w:p>
        </w:tc>
        <w:tc>
          <w:tcPr>
            <w:tcW w:type="dxa" w:w="3240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Para quién</w:t>
            </w:r>
          </w:p>
        </w:tc>
      </w:tr>
      <w:tr>
        <w:tc>
          <w:tcPr>
            <w:tcW w:type="dxa" w:w="223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Nexo Klar Inicial</w:t>
            </w:r>
          </w:p>
        </w:tc>
        <w:tc>
          <w:tcPr>
            <w:tcW w:type="dxa" w:w="4608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Controla personas, documentación, clientes, contratos y órdenes de servicio.</w:t>
            </w:r>
          </w:p>
        </w:tc>
        <w:tc>
          <w:tcPr>
            <w:tcW w:type="dxa" w:w="324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Empresas que buscan orden, cumplimiento y visibilidad operacional.</w:t>
            </w:r>
          </w:p>
        </w:tc>
      </w:tr>
      <w:tr>
        <w:tc>
          <w:tcPr>
            <w:tcW w:type="dxa" w:w="2232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Nexo Klar Platinum</w:t>
            </w:r>
          </w:p>
        </w:tc>
        <w:tc>
          <w:tcPr>
            <w:tcW w:type="dxa" w:w="4608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Añade coordinación de recursos, terceros, activos, inventario, costos y analítica.</w:t>
            </w:r>
          </w:p>
        </w:tc>
        <w:tc>
          <w:tcPr>
            <w:tcW w:type="dxa" w:w="324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Empresas que operan múltiples servicios, equipos y recursos en terreno.</w:t>
            </w:r>
          </w:p>
        </w:tc>
      </w:tr>
      <w:tr>
        <w:tc>
          <w:tcPr>
            <w:tcW w:type="dxa" w:w="223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Adicionales independientes</w:t>
            </w:r>
          </w:p>
        </w:tc>
        <w:tc>
          <w:tcPr>
            <w:tcW w:type="dxa" w:w="4608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Libro de Obra y Gestor Comercial.</w:t>
            </w:r>
          </w:p>
        </w:tc>
        <w:tc>
          <w:tcPr>
            <w:tcW w:type="dxa" w:w="324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Se activan en cualquiera de las seis opciones sin cambiar la base de datos.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rPr>
          <w:rFonts w:ascii="Arial" w:hAnsi="Arial"/>
          <w:color w:val="121826"/>
          <w:sz w:val="20"/>
        </w:rPr>
        <w:t>Los valores son referenciales netos en CLP. Se ajustan mediante una cotización por industria, nivel de implementación, almacenamiento, consumo de mensajería, OCR, firma electrónica e integraciones.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Arial" w:hAnsi="Arial"/>
          <w:b/>
          <w:color w:val="121826"/>
          <w:sz w:val="48"/>
        </w:rPr>
        <w:t>1. Principio comercial</w:t>
      </w:r>
    </w:p>
    <w:p>
      <w:pPr>
        <w:spacing w:after="200"/>
      </w:pPr>
      <w:r>
        <w:rPr>
          <w:rFonts w:ascii="Arial" w:hAnsi="Arial"/>
          <w:color w:val="536177"/>
          <w:sz w:val="23"/>
        </w:rPr>
        <w:t>Una oferta simple de explicar y fácil de escalar</w:t>
      </w:r>
    </w:p>
    <w:p>
      <w:pPr>
        <w:spacing w:after="120" w:line="276" w:lineRule="auto"/>
      </w:pPr>
      <w:r>
        <w:rPr>
          <w:rFonts w:ascii="Arial" w:hAnsi="Arial"/>
          <w:color w:val="121826"/>
          <w:sz w:val="20"/>
        </w:rPr>
        <w:t>La propuesta reemplaza una estructura de tres planes genéricos por dos líneas muy claras. La primera permite ordenar y cumplir; la segunda permite operar, medir y escalar. Dentro de cada línea, la capacidad aumenta sin obligar al cliente a rediseñar su forma de trabajar.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024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7056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Aplicación comercial</w:t>
            </w:r>
          </w:p>
        </w:tc>
      </w:tr>
      <w:tr>
        <w:tc>
          <w:tcPr>
            <w:tcW w:type="dxa" w:w="3024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Cobro por escala y valor</w:t>
            </w:r>
          </w:p>
        </w:tc>
        <w:tc>
          <w:tcPr>
            <w:tcW w:type="dxa" w:w="7056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La tarifa considera personas activas, usuarios nominados, órdenes activas, capacidad de almacenamiento y nivel de soporte; no el número de pantallas que el cliente abre.</w:t>
            </w:r>
          </w:p>
        </w:tc>
      </w:tr>
      <w:tr>
        <w:tc>
          <w:tcPr>
            <w:tcW w:type="dxa" w:w="3024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Misma base, mayor profundidad</w:t>
            </w:r>
          </w:p>
        </w:tc>
        <w:tc>
          <w:tcPr>
            <w:tcW w:type="dxa" w:w="7056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Un cliente puede subir de opción o de línea sin perder su historial, usuarios, documentos o configuraciones.</w:t>
            </w:r>
          </w:p>
        </w:tc>
      </w:tr>
      <w:tr>
        <w:tc>
          <w:tcPr>
            <w:tcW w:type="dxa" w:w="3024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Servicios adicionales independientes</w:t>
            </w:r>
          </w:p>
        </w:tc>
        <w:tc>
          <w:tcPr>
            <w:tcW w:type="dxa" w:w="7056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Libro de Obra y Gestor Comercial se venden por separado para no cargar el plan base de empresas que aún no los necesitan.</w:t>
            </w:r>
          </w:p>
        </w:tc>
      </w:tr>
      <w:tr>
        <w:tc>
          <w:tcPr>
            <w:tcW w:type="dxa" w:w="3024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Implementación visible</w:t>
            </w:r>
          </w:p>
        </w:tc>
        <w:tc>
          <w:tcPr>
            <w:tcW w:type="dxa" w:w="7056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Carga, depuración, parametrización e integraciones se cotizan aparte: son trabajo especializado y no deben quedar ocultos en la mensualidad.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1800"/>
            <w:tcBorders>
              <w:top w:val="single" w:sz="8" w:color="9BE5DC"/>
              <w:left w:val="single" w:sz="8" w:color="9BE5DC"/>
              <w:bottom w:val="single" w:sz="8" w:color="9BE5DC"/>
              <w:right w:val="single" w:sz="8" w:color="9BE5DC"/>
            </w:tcBorders>
            <w:shd w:fill="EAFBF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766E"/>
                <w:sz w:val="18"/>
              </w:rPr>
              <w:t>Referente de mercado</w:t>
            </w:r>
          </w:p>
        </w:tc>
        <w:tc>
          <w:tcPr>
            <w:tcW w:type="dxa" w:w="8280"/>
            <w:tcBorders>
              <w:top w:val="single" w:sz="8" w:color="9BE5DC"/>
              <w:left w:val="single" w:sz="8" w:color="9BE5DC"/>
              <w:bottom w:val="single" w:sz="8" w:color="9BE5DC"/>
              <w:right w:val="single" w:sz="8" w:color="9BE5DC"/>
            </w:tcBorders>
            <w:shd w:fill="EAFBF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8"/>
              </w:rPr>
              <w:t>Las plataformas de field service suelen combinar niveles funcionales, capacidad de uso, acompañamiento y complementos. Por ejemplo, Housecall Pro diferencia planes por usuarios y soporte; ServiceM8 utiliza capacidad de trabajos y mensajería; FieldPulse usa precios por técnico. Nexo Klar adapta esa lógica al contexto operacional chileno.</w:t>
            </w:r>
          </w:p>
        </w:tc>
      </w:tr>
    </w:tbl>
    <w:p>
      <w:pPr>
        <w:spacing w:after="60"/>
      </w:pPr>
    </w:p>
    <w:p>
      <w:pPr>
        <w:spacing w:before="200" w:after="60"/>
      </w:pPr>
      <w:r>
        <w:rPr>
          <w:rFonts w:ascii="Arial" w:hAnsi="Arial"/>
          <w:b/>
          <w:color w:val="312E81"/>
          <w:sz w:val="32"/>
        </w:rPr>
        <w:t>Cliente ideal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21826"/>
          <w:sz w:val="19"/>
        </w:rPr>
        <w:t>Empresas de servicios, mantenimiento, construcción, energía, logística, facilities, seguridad, agroindustria y minería con 20 a 500 personas.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21826"/>
          <w:sz w:val="19"/>
        </w:rPr>
        <w:t>Operaciones que dependen de planillas, carpetas, correos y personas clave para saber quién puede trabajar y con qué recursos.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21826"/>
          <w:sz w:val="19"/>
        </w:rPr>
        <w:t>Equipos que necesitan demostrar cumplimiento documental, coordinar servicios y mantener historial verificable frente a clientes, mandantes y auditorías.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Arial" w:hAnsi="Arial"/>
          <w:b/>
          <w:color w:val="121826"/>
          <w:sz w:val="48"/>
        </w:rPr>
        <w:t>2. Nexo Klar Inicial</w:t>
      </w:r>
    </w:p>
    <w:p>
      <w:pPr>
        <w:spacing w:after="200"/>
      </w:pPr>
      <w:r>
        <w:rPr>
          <w:rFonts w:ascii="Arial" w:hAnsi="Arial"/>
          <w:color w:val="536177"/>
          <w:sz w:val="23"/>
        </w:rPr>
        <w:t>Orden y cumplimiento que se transforma en control diario</w:t>
      </w:r>
    </w:p>
    <w:p>
      <w:pPr>
        <w:spacing w:after="120" w:line="276" w:lineRule="auto"/>
      </w:pPr>
      <w:r>
        <w:rPr>
          <w:rFonts w:ascii="Arial" w:hAnsi="Arial"/>
          <w:color w:val="121826"/>
          <w:sz w:val="20"/>
        </w:rPr>
        <w:t>La línea Inicial está diseñada para instalar una fuente única de información. Parte por las personas y sus requisitos; luego las vincula con clientes, contratos y órdenes de servicio para saber qué está listo, pendiente o restringido.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232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Opción</w:t>
            </w:r>
          </w:p>
        </w:tc>
        <w:tc>
          <w:tcPr>
            <w:tcW w:type="dxa" w:w="2520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2520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Equipo</w:t>
            </w:r>
          </w:p>
        </w:tc>
        <w:tc>
          <w:tcPr>
            <w:tcW w:type="dxa" w:w="2520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Empresa</w:t>
            </w:r>
          </w:p>
        </w:tc>
      </w:tr>
      <w:tr>
        <w:tc>
          <w:tcPr>
            <w:tcW w:type="dxa" w:w="223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Precio mensual neto CLP</w:t>
            </w:r>
          </w:p>
        </w:tc>
        <w:tc>
          <w:tcPr>
            <w:tcW w:type="dxa" w:w="252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$169.000</w:t>
            </w:r>
          </w:p>
        </w:tc>
        <w:tc>
          <w:tcPr>
            <w:tcW w:type="dxa" w:w="252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$289.000</w:t>
            </w:r>
          </w:p>
        </w:tc>
        <w:tc>
          <w:tcPr>
            <w:tcW w:type="dxa" w:w="252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$429.000</w:t>
            </w:r>
          </w:p>
        </w:tc>
      </w:tr>
      <w:tr>
        <w:tc>
          <w:tcPr>
            <w:tcW w:type="dxa" w:w="2232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Personas activas incluidas</w:t>
            </w:r>
          </w:p>
        </w:tc>
        <w:tc>
          <w:tcPr>
            <w:tcW w:type="dxa" w:w="252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Hasta 20</w:t>
            </w:r>
          </w:p>
        </w:tc>
        <w:tc>
          <w:tcPr>
            <w:tcW w:type="dxa" w:w="252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Hasta 60</w:t>
            </w:r>
          </w:p>
        </w:tc>
        <w:tc>
          <w:tcPr>
            <w:tcW w:type="dxa" w:w="252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Hasta 120</w:t>
            </w:r>
          </w:p>
        </w:tc>
      </w:tr>
      <w:tr>
        <w:tc>
          <w:tcPr>
            <w:tcW w:type="dxa" w:w="223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Usuarios nominados</w:t>
            </w:r>
          </w:p>
        </w:tc>
        <w:tc>
          <w:tcPr>
            <w:tcW w:type="dxa" w:w="252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3</w:t>
            </w:r>
          </w:p>
        </w:tc>
        <w:tc>
          <w:tcPr>
            <w:tcW w:type="dxa" w:w="252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8</w:t>
            </w:r>
          </w:p>
        </w:tc>
        <w:tc>
          <w:tcPr>
            <w:tcW w:type="dxa" w:w="252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15</w:t>
            </w:r>
          </w:p>
        </w:tc>
      </w:tr>
      <w:tr>
        <w:tc>
          <w:tcPr>
            <w:tcW w:type="dxa" w:w="2232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Órdenes de servicio activas/mes</w:t>
            </w:r>
          </w:p>
        </w:tc>
        <w:tc>
          <w:tcPr>
            <w:tcW w:type="dxa" w:w="252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10</w:t>
            </w:r>
          </w:p>
        </w:tc>
        <w:tc>
          <w:tcPr>
            <w:tcW w:type="dxa" w:w="252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40</w:t>
            </w:r>
          </w:p>
        </w:tc>
        <w:tc>
          <w:tcPr>
            <w:tcW w:type="dxa" w:w="252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100</w:t>
            </w:r>
          </w:p>
        </w:tc>
      </w:tr>
      <w:tr>
        <w:tc>
          <w:tcPr>
            <w:tcW w:type="dxa" w:w="223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Almacenamiento incluido</w:t>
            </w:r>
          </w:p>
        </w:tc>
        <w:tc>
          <w:tcPr>
            <w:tcW w:type="dxa" w:w="252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10 GB</w:t>
            </w:r>
          </w:p>
        </w:tc>
        <w:tc>
          <w:tcPr>
            <w:tcW w:type="dxa" w:w="252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35 GB</w:t>
            </w:r>
          </w:p>
        </w:tc>
        <w:tc>
          <w:tcPr>
            <w:tcW w:type="dxa" w:w="252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100 GB</w:t>
            </w:r>
          </w:p>
        </w:tc>
      </w:tr>
      <w:tr>
        <w:tc>
          <w:tcPr>
            <w:tcW w:type="dxa" w:w="2232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Soporte</w:t>
            </w:r>
          </w:p>
        </w:tc>
        <w:tc>
          <w:tcPr>
            <w:tcW w:type="dxa" w:w="252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Correo hábil</w:t>
            </w:r>
          </w:p>
        </w:tc>
        <w:tc>
          <w:tcPr>
            <w:tcW w:type="dxa" w:w="252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Correo + sesión mensual</w:t>
            </w:r>
          </w:p>
        </w:tc>
        <w:tc>
          <w:tcPr>
            <w:tcW w:type="dxa" w:w="252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Prioritario + sesión quincenal</w:t>
            </w:r>
          </w:p>
        </w:tc>
      </w:tr>
      <w:tr>
        <w:tc>
          <w:tcPr>
            <w:tcW w:type="dxa" w:w="223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Ideal para</w:t>
            </w:r>
          </w:p>
        </w:tc>
        <w:tc>
          <w:tcPr>
            <w:tcW w:type="dxa" w:w="252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Inicio ordenado y una operación acotada.</w:t>
            </w:r>
          </w:p>
        </w:tc>
        <w:tc>
          <w:tcPr>
            <w:tcW w:type="dxa" w:w="252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Equipos de servicio con varias órdenes y responsables.</w:t>
            </w:r>
          </w:p>
        </w:tc>
        <w:tc>
          <w:tcPr>
            <w:tcW w:type="dxa" w:w="252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Empresa consolidada que necesita gobierno documental.</w:t>
            </w:r>
          </w:p>
        </w:tc>
      </w:tr>
    </w:tbl>
    <w:p>
      <w:pPr>
        <w:spacing w:after="60"/>
      </w:pPr>
    </w:p>
    <w:p>
      <w:pPr>
        <w:spacing w:before="200" w:after="60"/>
      </w:pPr>
      <w:r>
        <w:rPr>
          <w:rFonts w:ascii="Arial" w:hAnsi="Arial"/>
          <w:b/>
          <w:color w:val="312E81"/>
          <w:sz w:val="32"/>
        </w:rPr>
        <w:t>Módulos incluidos en las tres opciones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7272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Capacidades</w:t>
            </w:r>
          </w:p>
        </w:tc>
      </w:tr>
      <w:tr>
        <w:tc>
          <w:tcPr>
            <w:tcW w:type="dxa" w:w="288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Personas y habilitación</w:t>
            </w:r>
          </w:p>
        </w:tc>
        <w:tc>
          <w:tcPr>
            <w:tcW w:type="dxa" w:w="727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Personas fijas, por proyecto, disponibles y restringidas; ficha única, documentos, turnos y asistencia, EPP, formación, exámenes, aptitudes y salud ocupacional.</w:t>
            </w:r>
          </w:p>
        </w:tc>
      </w:tr>
      <w:tr>
        <w:tc>
          <w:tcPr>
            <w:tcW w:type="dxa" w:w="288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Relación comercial</w:t>
            </w:r>
          </w:p>
        </w:tc>
        <w:tc>
          <w:tcPr>
            <w:tcW w:type="dxa" w:w="7272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Clientes, contactos, contratos y firmas, órdenes de servicio, vigencias, responsables y bitácora.</w:t>
            </w:r>
          </w:p>
        </w:tc>
      </w:tr>
      <w:tr>
        <w:tc>
          <w:tcPr>
            <w:tcW w:type="dxa" w:w="288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Cumplimiento</w:t>
            </w:r>
          </w:p>
        </w:tc>
        <w:tc>
          <w:tcPr>
            <w:tcW w:type="dxa" w:w="727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Documentación corporativa, habilitación del cliente, alertas, auditoría documental e historial de cambios.</w:t>
            </w:r>
          </w:p>
        </w:tc>
      </w:tr>
      <w:tr>
        <w:tc>
          <w:tcPr>
            <w:tcW w:type="dxa" w:w="288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Gestión</w:t>
            </w:r>
          </w:p>
        </w:tc>
        <w:tc>
          <w:tcPr>
            <w:tcW w:type="dxa" w:w="7272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Panel General, reportes base, configuración de empresa, importar/exportar, usuarios, permisos, privacidad y bitácora.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1800"/>
            <w:tcBorders>
              <w:top w:val="single" w:sz="8" w:color="9BE5DC"/>
              <w:left w:val="single" w:sz="8" w:color="9BE5DC"/>
              <w:bottom w:val="single" w:sz="8" w:color="9BE5DC"/>
              <w:right w:val="single" w:sz="8" w:color="9BE5DC"/>
            </w:tcBorders>
            <w:shd w:fill="EAFBF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766E"/>
                <w:sz w:val="18"/>
              </w:rPr>
              <w:t>Valor que se vende</w:t>
            </w:r>
          </w:p>
        </w:tc>
        <w:tc>
          <w:tcPr>
            <w:tcW w:type="dxa" w:w="8280"/>
            <w:tcBorders>
              <w:top w:val="single" w:sz="8" w:color="9BE5DC"/>
              <w:left w:val="single" w:sz="8" w:color="9BE5DC"/>
              <w:bottom w:val="single" w:sz="8" w:color="9BE5DC"/>
              <w:right w:val="single" w:sz="8" w:color="9BE5DC"/>
            </w:tcBorders>
            <w:shd w:fill="EAFBF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8"/>
              </w:rPr>
              <w:t>“Una sola vista para saber quién está habilitado, qué documento vence y qué orden puede comenzar. Menos búsqueda, menos doble registro y más continuidad.”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Arial" w:hAnsi="Arial"/>
          <w:b/>
          <w:color w:val="121826"/>
          <w:sz w:val="48"/>
        </w:rPr>
        <w:t>3. Nexo Klar Platinum</w:t>
      </w:r>
    </w:p>
    <w:p>
      <w:pPr>
        <w:spacing w:after="200"/>
      </w:pPr>
      <w:r>
        <w:rPr>
          <w:rFonts w:ascii="Arial" w:hAnsi="Arial"/>
          <w:color w:val="536177"/>
          <w:sz w:val="23"/>
        </w:rPr>
        <w:t>Operación conectada, recursos bajo control y decisiones con evidencia</w:t>
      </w:r>
    </w:p>
    <w:p>
      <w:pPr>
        <w:spacing w:after="120" w:line="276" w:lineRule="auto"/>
      </w:pPr>
      <w:r>
        <w:rPr>
          <w:rFonts w:ascii="Arial" w:hAnsi="Arial"/>
          <w:color w:val="121826"/>
          <w:sz w:val="20"/>
        </w:rPr>
        <w:t>La línea Platinum incorpora la coordinación completa de recursos y ejecución. Conserva todos los módulos de Inicial y agrega activos, inventario, terceros, estadías, comunicaciones, incidentes, costos y reportes avanzados.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232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Opción</w:t>
            </w:r>
          </w:p>
        </w:tc>
        <w:tc>
          <w:tcPr>
            <w:tcW w:type="dxa" w:w="2520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Operación</w:t>
            </w:r>
          </w:p>
        </w:tc>
        <w:tc>
          <w:tcPr>
            <w:tcW w:type="dxa" w:w="2520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2520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Corporativo</w:t>
            </w:r>
          </w:p>
        </w:tc>
      </w:tr>
      <w:tr>
        <w:tc>
          <w:tcPr>
            <w:tcW w:type="dxa" w:w="223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Precio mensual neto CLP</w:t>
            </w:r>
          </w:p>
        </w:tc>
        <w:tc>
          <w:tcPr>
            <w:tcW w:type="dxa" w:w="252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$649.000</w:t>
            </w:r>
          </w:p>
        </w:tc>
        <w:tc>
          <w:tcPr>
            <w:tcW w:type="dxa" w:w="252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$949.000</w:t>
            </w:r>
          </w:p>
        </w:tc>
        <w:tc>
          <w:tcPr>
            <w:tcW w:type="dxa" w:w="252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$1.490.000</w:t>
            </w:r>
          </w:p>
        </w:tc>
      </w:tr>
      <w:tr>
        <w:tc>
          <w:tcPr>
            <w:tcW w:type="dxa" w:w="2232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Personas activas incluidas</w:t>
            </w:r>
          </w:p>
        </w:tc>
        <w:tc>
          <w:tcPr>
            <w:tcW w:type="dxa" w:w="252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Hasta 100</w:t>
            </w:r>
          </w:p>
        </w:tc>
        <w:tc>
          <w:tcPr>
            <w:tcW w:type="dxa" w:w="252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Hasta 250</w:t>
            </w:r>
          </w:p>
        </w:tc>
        <w:tc>
          <w:tcPr>
            <w:tcW w:type="dxa" w:w="252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Hasta 500</w:t>
            </w:r>
          </w:p>
        </w:tc>
      </w:tr>
      <w:tr>
        <w:tc>
          <w:tcPr>
            <w:tcW w:type="dxa" w:w="223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Usuarios nominados</w:t>
            </w:r>
          </w:p>
        </w:tc>
        <w:tc>
          <w:tcPr>
            <w:tcW w:type="dxa" w:w="252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12</w:t>
            </w:r>
          </w:p>
        </w:tc>
        <w:tc>
          <w:tcPr>
            <w:tcW w:type="dxa" w:w="252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25</w:t>
            </w:r>
          </w:p>
        </w:tc>
        <w:tc>
          <w:tcPr>
            <w:tcW w:type="dxa" w:w="252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50</w:t>
            </w:r>
          </w:p>
        </w:tc>
      </w:tr>
      <w:tr>
        <w:tc>
          <w:tcPr>
            <w:tcW w:type="dxa" w:w="2232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Órdenes de servicio activas/mes</w:t>
            </w:r>
          </w:p>
        </w:tc>
        <w:tc>
          <w:tcPr>
            <w:tcW w:type="dxa" w:w="252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100</w:t>
            </w:r>
          </w:p>
        </w:tc>
        <w:tc>
          <w:tcPr>
            <w:tcW w:type="dxa" w:w="252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300</w:t>
            </w:r>
          </w:p>
        </w:tc>
        <w:tc>
          <w:tcPr>
            <w:tcW w:type="dxa" w:w="252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Ilimitadas*</w:t>
            </w:r>
          </w:p>
        </w:tc>
      </w:tr>
      <w:tr>
        <w:tc>
          <w:tcPr>
            <w:tcW w:type="dxa" w:w="223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Almacenamiento incluido</w:t>
            </w:r>
          </w:p>
        </w:tc>
        <w:tc>
          <w:tcPr>
            <w:tcW w:type="dxa" w:w="252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150 GB</w:t>
            </w:r>
          </w:p>
        </w:tc>
        <w:tc>
          <w:tcPr>
            <w:tcW w:type="dxa" w:w="252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500 GB</w:t>
            </w:r>
          </w:p>
        </w:tc>
        <w:tc>
          <w:tcPr>
            <w:tcW w:type="dxa" w:w="252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1 TB</w:t>
            </w:r>
          </w:p>
        </w:tc>
      </w:tr>
      <w:tr>
        <w:tc>
          <w:tcPr>
            <w:tcW w:type="dxa" w:w="2232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Soporte</w:t>
            </w:r>
          </w:p>
        </w:tc>
        <w:tc>
          <w:tcPr>
            <w:tcW w:type="dxa" w:w="252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Prioritario</w:t>
            </w:r>
          </w:p>
        </w:tc>
        <w:tc>
          <w:tcPr>
            <w:tcW w:type="dxa" w:w="252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Prioritario + revisión mensual</w:t>
            </w:r>
          </w:p>
        </w:tc>
        <w:tc>
          <w:tcPr>
            <w:tcW w:type="dxa" w:w="252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Gestor de éxito + revisión ejecutiva</w:t>
            </w:r>
          </w:p>
        </w:tc>
      </w:tr>
      <w:tr>
        <w:tc>
          <w:tcPr>
            <w:tcW w:type="dxa" w:w="223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Ideal para</w:t>
            </w:r>
          </w:p>
        </w:tc>
        <w:tc>
          <w:tcPr>
            <w:tcW w:type="dxa" w:w="252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Operación en terreno con recursos y terceros.</w:t>
            </w:r>
          </w:p>
        </w:tc>
        <w:tc>
          <w:tcPr>
            <w:tcW w:type="dxa" w:w="252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Varias áreas, sedes o clientes activos.</w:t>
            </w:r>
          </w:p>
        </w:tc>
        <w:tc>
          <w:tcPr>
            <w:tcW w:type="dxa" w:w="252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Operación multiempresa o corporativa con integraciones.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rPr>
          <w:rFonts w:ascii="Arial" w:hAnsi="Arial"/>
          <w:color w:val="121826"/>
          <w:sz w:val="20"/>
        </w:rPr>
        <w:t>*Uso razonable sujeto a política de servicio, almacenamiento y consumo contratado.</w:t>
      </w:r>
    </w:p>
    <w:p>
      <w:pPr>
        <w:spacing w:before="200" w:after="60"/>
      </w:pPr>
      <w:r>
        <w:rPr>
          <w:rFonts w:ascii="Arial" w:hAnsi="Arial"/>
          <w:b/>
          <w:color w:val="312E81"/>
          <w:sz w:val="32"/>
        </w:rPr>
        <w:t>Módulos que se suman a Nexo Klar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7272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Capacidades</w:t>
            </w:r>
          </w:p>
        </w:tc>
      </w:tr>
      <w:tr>
        <w:tc>
          <w:tcPr>
            <w:tcW w:type="dxa" w:w="288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Centro Operativo</w:t>
            </w:r>
          </w:p>
        </w:tc>
        <w:tc>
          <w:tcPr>
            <w:tcW w:type="dxa" w:w="727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Preparación de órdenes, brechas, responsables, alertas y coordinación diaria.</w:t>
            </w:r>
          </w:p>
        </w:tc>
      </w:tr>
      <w:tr>
        <w:tc>
          <w:tcPr>
            <w:tcW w:type="dxa" w:w="288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Recursos y movilidad</w:t>
            </w:r>
          </w:p>
        </w:tc>
        <w:tc>
          <w:tcPr>
            <w:tcW w:type="dxa" w:w="7272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Comunicaciones y convocatorias, vehículos, activos, equipos, credenciales, alojamientos y estadías.</w:t>
            </w:r>
          </w:p>
        </w:tc>
      </w:tr>
      <w:tr>
        <w:tc>
          <w:tcPr>
            <w:tcW w:type="dxa" w:w="288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Terceros</w:t>
            </w:r>
          </w:p>
        </w:tc>
        <w:tc>
          <w:tcPr>
            <w:tcW w:type="dxa" w:w="727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Terceros y subcontratos, convenios, personal externo, habilitación, documentos y evaluación de desempeño.</w:t>
            </w:r>
          </w:p>
        </w:tc>
      </w:tr>
      <w:tr>
        <w:tc>
          <w:tcPr>
            <w:tcW w:type="dxa" w:w="288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Activos e inventario</w:t>
            </w:r>
          </w:p>
        </w:tc>
        <w:tc>
          <w:tcPr>
            <w:tcW w:type="dxa" w:w="7272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Maquinaria, instrumentos, herramientas, materiales, consumibles, bodegas, movimientos, mantenimiento, asignaciones y préstamos.</w:t>
            </w:r>
          </w:p>
        </w:tc>
      </w:tr>
      <w:tr>
        <w:tc>
          <w:tcPr>
            <w:tcW w:type="dxa" w:w="288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Ejecución y control</w:t>
            </w:r>
          </w:p>
        </w:tc>
        <w:tc>
          <w:tcPr>
            <w:tcW w:type="dxa" w:w="727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Incidentes y no conformidades, acciones correctivas, reportes operacionales, costos y analítica avanzada según opción.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1800"/>
            <w:tcBorders>
              <w:top w:val="single" w:sz="8" w:color="9BE5DC"/>
              <w:left w:val="single" w:sz="8" w:color="9BE5DC"/>
              <w:bottom w:val="single" w:sz="8" w:color="9BE5DC"/>
              <w:right w:val="single" w:sz="8" w:color="9BE5DC"/>
            </w:tcBorders>
            <w:shd w:fill="EAFBF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766E"/>
                <w:sz w:val="18"/>
              </w:rPr>
              <w:t>Valor que se vende</w:t>
            </w:r>
          </w:p>
        </w:tc>
        <w:tc>
          <w:tcPr>
            <w:tcW w:type="dxa" w:w="8280"/>
            <w:tcBorders>
              <w:top w:val="single" w:sz="8" w:color="9BE5DC"/>
              <w:left w:val="single" w:sz="8" w:color="9BE5DC"/>
              <w:bottom w:val="single" w:sz="8" w:color="9BE5DC"/>
              <w:right w:val="single" w:sz="8" w:color="9BE5DC"/>
            </w:tcBorders>
            <w:shd w:fill="EAFBF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8"/>
              </w:rPr>
              <w:t>“Antes de movilizar una orden, la empresa ve si tiene personas habilitadas, recursos disponibles, EPP, vehículo, alojamiento, documentación y evidencia para ejecutar.”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Arial" w:hAnsi="Arial"/>
          <w:b/>
          <w:color w:val="121826"/>
          <w:sz w:val="48"/>
        </w:rPr>
        <w:t>4. Servicios adicionales independientes</w:t>
      </w:r>
    </w:p>
    <w:p>
      <w:pPr>
        <w:spacing w:after="200"/>
      </w:pPr>
      <w:r>
        <w:rPr>
          <w:rFonts w:ascii="Arial" w:hAnsi="Arial"/>
          <w:color w:val="536177"/>
          <w:sz w:val="23"/>
        </w:rPr>
        <w:t>Complementos de alto valor sin recargar el plan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016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4176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Qué incluye</w:t>
            </w:r>
          </w:p>
        </w:tc>
        <w:tc>
          <w:tcPr>
            <w:tcW w:type="dxa" w:w="1728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Precio mensual neto CLP</w:t>
            </w:r>
          </w:p>
        </w:tc>
        <w:tc>
          <w:tcPr>
            <w:tcW w:type="dxa" w:w="2232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Condición</w:t>
            </w:r>
          </w:p>
        </w:tc>
      </w:tr>
      <w:tr>
        <w:tc>
          <w:tcPr>
            <w:tcW w:type="dxa" w:w="2016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Libro de Obra Digital</w:t>
            </w:r>
          </w:p>
        </w:tc>
        <w:tc>
          <w:tcPr>
            <w:tcW w:type="dxa" w:w="4176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Folios correlativos, anotaciones, acuerdos, instrucciones, evidencia, responsables, plazos, firmas y conexión con cliente, contrato y orden.</w:t>
            </w:r>
          </w:p>
        </w:tc>
        <w:tc>
          <w:tcPr>
            <w:tcW w:type="dxa" w:w="1728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Desde $95.000</w:t>
            </w:r>
          </w:p>
        </w:tc>
        <w:tc>
          <w:tcPr>
            <w:tcW w:type="dxa" w:w="223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Firma electrónica, SMS y WhatsApp se cobran por consumo del proveedor.</w:t>
            </w:r>
          </w:p>
        </w:tc>
      </w:tr>
      <w:tr>
        <w:tc>
          <w:tcPr>
            <w:tcW w:type="dxa" w:w="2016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Gestor Comercial</w:t>
            </w:r>
          </w:p>
        </w:tc>
        <w:tc>
          <w:tcPr>
            <w:tcW w:type="dxa" w:w="4176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Prospectos, contactos, bitácora, próxima acción, montos, documentos, pipeline y conversión a cliente, contrato u orden.</w:t>
            </w:r>
          </w:p>
        </w:tc>
        <w:tc>
          <w:tcPr>
            <w:tcW w:type="dxa" w:w="1728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Desde $75.000</w:t>
            </w:r>
          </w:p>
        </w:tc>
        <w:tc>
          <w:tcPr>
            <w:tcW w:type="dxa" w:w="2232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Incluye hasta 5 usuarios comerciales; usuarios extra según plan.</w:t>
            </w:r>
          </w:p>
        </w:tc>
      </w:tr>
      <w:tr>
        <w:tc>
          <w:tcPr>
            <w:tcW w:type="dxa" w:w="2016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Almacenamiento adicional</w:t>
            </w:r>
          </w:p>
        </w:tc>
        <w:tc>
          <w:tcPr>
            <w:tcW w:type="dxa" w:w="4176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Bloques de capacidad para documentos, fotografías, evidencias y archivos históricos.</w:t>
            </w:r>
          </w:p>
        </w:tc>
        <w:tc>
          <w:tcPr>
            <w:tcW w:type="dxa" w:w="1728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$25.000 / 50 GB</w:t>
            </w:r>
          </w:p>
        </w:tc>
        <w:tc>
          <w:tcPr>
            <w:tcW w:type="dxa" w:w="223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Se suman al plan activo.</w:t>
            </w:r>
          </w:p>
        </w:tc>
      </w:tr>
      <w:tr>
        <w:tc>
          <w:tcPr>
            <w:tcW w:type="dxa" w:w="2016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OCR / validación documental</w:t>
            </w:r>
          </w:p>
        </w:tc>
        <w:tc>
          <w:tcPr>
            <w:tcW w:type="dxa" w:w="4176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Lectura de documentos, clasificación, extracción de fechas y revisión de excepciones.</w:t>
            </w:r>
          </w:p>
        </w:tc>
        <w:tc>
          <w:tcPr>
            <w:tcW w:type="dxa" w:w="1728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Desde $95.000 + consumo</w:t>
            </w:r>
          </w:p>
        </w:tc>
        <w:tc>
          <w:tcPr>
            <w:tcW w:type="dxa" w:w="2232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Se activa con proveedor y reglas aprobadas.</w:t>
            </w:r>
          </w:p>
        </w:tc>
      </w:tr>
      <w:tr>
        <w:tc>
          <w:tcPr>
            <w:tcW w:type="dxa" w:w="2016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Firma, mensajería e integración</w:t>
            </w:r>
          </w:p>
        </w:tc>
        <w:tc>
          <w:tcPr>
            <w:tcW w:type="dxa" w:w="4176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Conectores a firma electrónica, correo, WhatsApp, ERP o API.</w:t>
            </w:r>
          </w:p>
        </w:tc>
        <w:tc>
          <w:tcPr>
            <w:tcW w:type="dxa" w:w="1728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Desde $450.000 único + soporte</w:t>
            </w:r>
          </w:p>
        </w:tc>
        <w:tc>
          <w:tcPr>
            <w:tcW w:type="dxa" w:w="223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Cotización según proveedor, alcance, volumen y seguridad.</w:t>
            </w:r>
          </w:p>
        </w:tc>
      </w:tr>
    </w:tbl>
    <w:p>
      <w:pPr>
        <w:spacing w:after="60"/>
      </w:pPr>
    </w:p>
    <w:p>
      <w:pPr>
        <w:spacing w:before="200" w:after="60"/>
      </w:pPr>
      <w:r>
        <w:rPr>
          <w:rFonts w:ascii="Arial" w:hAnsi="Arial"/>
          <w:b/>
          <w:color w:val="312E81"/>
          <w:sz w:val="32"/>
        </w:rPr>
        <w:t>Implementación y carga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304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Alternativa</w:t>
            </w:r>
          </w:p>
        </w:tc>
        <w:tc>
          <w:tcPr>
            <w:tcW w:type="dxa" w:w="5976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Alcance</w:t>
            </w:r>
          </w:p>
        </w:tc>
        <w:tc>
          <w:tcPr>
            <w:tcW w:type="dxa" w:w="1872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Precio neto CLP</w:t>
            </w:r>
          </w:p>
        </w:tc>
      </w:tr>
      <w:tr>
        <w:tc>
          <w:tcPr>
            <w:tcW w:type="dxa" w:w="2304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Autoguiada</w:t>
            </w:r>
          </w:p>
        </w:tc>
        <w:tc>
          <w:tcPr>
            <w:tcW w:type="dxa" w:w="5976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Plantillas, sesión de inicio de 90 minutos y revisión de primera carga.</w:t>
            </w:r>
          </w:p>
        </w:tc>
        <w:tc>
          <w:tcPr>
            <w:tcW w:type="dxa" w:w="187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Sin costo con anualidad; $190.000 en mensual.</w:t>
            </w:r>
          </w:p>
        </w:tc>
      </w:tr>
      <w:tr>
        <w:tc>
          <w:tcPr>
            <w:tcW w:type="dxa" w:w="2304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Asistida</w:t>
            </w:r>
          </w:p>
        </w:tc>
        <w:tc>
          <w:tcPr>
            <w:tcW w:type="dxa" w:w="5976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Hasta 60 personas, 2 clientes, 3 contratos/órdenes, configuración base y dos sesiones de capacitación.</w:t>
            </w:r>
          </w:p>
        </w:tc>
        <w:tc>
          <w:tcPr>
            <w:tcW w:type="dxa" w:w="1872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$590.000 único</w:t>
            </w:r>
          </w:p>
        </w:tc>
      </w:tr>
      <w:tr>
        <w:tc>
          <w:tcPr>
            <w:tcW w:type="dxa" w:w="2304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Operacional</w:t>
            </w:r>
          </w:p>
        </w:tc>
        <w:tc>
          <w:tcPr>
            <w:tcW w:type="dxa" w:w="5976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Hasta 150 personas, 5 clientes, 10 contratos/órdenes, recursos, catálogo inicial, matriz y cuatro sesiones.</w:t>
            </w:r>
          </w:p>
        </w:tc>
        <w:tc>
          <w:tcPr>
            <w:tcW w:type="dxa" w:w="187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$1.290.000 único</w:t>
            </w:r>
          </w:p>
        </w:tc>
      </w:tr>
      <w:tr>
        <w:tc>
          <w:tcPr>
            <w:tcW w:type="dxa" w:w="2304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Corporativa / histórica</w:t>
            </w:r>
          </w:p>
        </w:tc>
        <w:tc>
          <w:tcPr>
            <w:tcW w:type="dxa" w:w="5976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Diagnóstico, depuración, OCR, lotes, migración de cinco años, capacitación por equipo e informe de calidad.</w:t>
            </w:r>
          </w:p>
        </w:tc>
        <w:tc>
          <w:tcPr>
            <w:tcW w:type="dxa" w:w="1872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Desde $3.500.000; se cotiza por volumen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1800"/>
            <w:tcBorders>
              <w:top w:val="single" w:sz="8" w:color="9BE5DC"/>
              <w:left w:val="single" w:sz="8" w:color="9BE5DC"/>
              <w:bottom w:val="single" w:sz="8" w:color="9BE5DC"/>
              <w:right w:val="single" w:sz="8" w:color="9BE5DC"/>
            </w:tcBorders>
            <w:shd w:fill="EAFBF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766E"/>
                <w:sz w:val="18"/>
              </w:rPr>
              <w:t>Regla de venta</w:t>
            </w:r>
          </w:p>
        </w:tc>
        <w:tc>
          <w:tcPr>
            <w:tcW w:type="dxa" w:w="8280"/>
            <w:tcBorders>
              <w:top w:val="single" w:sz="8" w:color="9BE5DC"/>
              <w:left w:val="single" w:sz="8" w:color="9BE5DC"/>
              <w:bottom w:val="single" w:sz="8" w:color="9BE5DC"/>
              <w:right w:val="single" w:sz="8" w:color="9BE5DC"/>
            </w:tcBorders>
            <w:shd w:fill="EAFBF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8"/>
              </w:rPr>
              <w:t>Un piloto de 60 días puede cobrarse a $390.000 y acreditarse al 100% contra una contratación anual. El piloto siempre debe tener alcance, responsable, métrica y fecha de cierre.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Arial" w:hAnsi="Arial"/>
          <w:b/>
          <w:color w:val="121826"/>
          <w:sz w:val="48"/>
        </w:rPr>
        <w:t>5. Árbol de decisión e integración</w:t>
      </w:r>
    </w:p>
    <w:p>
      <w:pPr>
        <w:spacing w:after="200"/>
      </w:pPr>
      <w:r>
        <w:rPr>
          <w:rFonts w:ascii="Arial" w:hAnsi="Arial"/>
          <w:color w:val="536177"/>
          <w:sz w:val="23"/>
        </w:rPr>
        <w:t>La explicación debe partir por las personas, no por las pantallas</w:t>
      </w:r>
    </w:p>
    <w:p>
      <w:pPr>
        <w:spacing w:after="120" w:line="276" w:lineRule="auto"/>
      </w:pPr>
      <w:r>
        <w:rPr>
          <w:rFonts w:ascii="Arial" w:hAnsi="Arial"/>
          <w:color w:val="121826"/>
          <w:sz w:val="20"/>
        </w:rPr>
        <w:t>Esta es la ruta sugerida para presentar Nexo Klar. Cada nivel hereda el contexto del anterior y evita información duplicada. Se puede explicar en menos de cinco minutos durante una demo.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080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304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Pregunta del cliente</w:t>
            </w:r>
          </w:p>
        </w:tc>
        <w:tc>
          <w:tcPr>
            <w:tcW w:type="dxa" w:w="4392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Módulos que responden</w:t>
            </w:r>
          </w:p>
        </w:tc>
        <w:tc>
          <w:tcPr>
            <w:tcW w:type="dxa" w:w="2304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08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1. Personas</w:t>
            </w:r>
          </w:p>
        </w:tc>
        <w:tc>
          <w:tcPr>
            <w:tcW w:type="dxa" w:w="2304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¿Quién puede trabajar hoy?</w:t>
            </w:r>
          </w:p>
        </w:tc>
        <w:tc>
          <w:tcPr>
            <w:tcW w:type="dxa" w:w="439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Personas, tipo de trabajador, ficha, documentos, EPP, formación, exámenes, salud, turnos y restricciones.</w:t>
            </w:r>
          </w:p>
        </w:tc>
        <w:tc>
          <w:tcPr>
            <w:tcW w:type="dxa" w:w="2304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Persona disponible, pendiente o restringida.</w:t>
            </w:r>
          </w:p>
        </w:tc>
      </w:tr>
      <w:tr>
        <w:tc>
          <w:tcPr>
            <w:tcW w:type="dxa" w:w="108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2. Habilitación</w:t>
            </w:r>
          </w:p>
        </w:tc>
        <w:tc>
          <w:tcPr>
            <w:tcW w:type="dxa" w:w="2304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¿Cumple lo necesario para esta orden?</w:t>
            </w:r>
          </w:p>
        </w:tc>
        <w:tc>
          <w:tcPr>
            <w:tcW w:type="dxa" w:w="4392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Habilitación del cliente, auditoría, matriz de requisitos, alertas, credenciales y documentación.</w:t>
            </w:r>
          </w:p>
        </w:tc>
        <w:tc>
          <w:tcPr>
            <w:tcW w:type="dxa" w:w="2304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Cumplimiento validado y vencimientos visibles.</w:t>
            </w:r>
          </w:p>
        </w:tc>
      </w:tr>
      <w:tr>
        <w:tc>
          <w:tcPr>
            <w:tcW w:type="dxa" w:w="108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3. Asignación</w:t>
            </w:r>
          </w:p>
        </w:tc>
        <w:tc>
          <w:tcPr>
            <w:tcW w:type="dxa" w:w="2304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¿Dónde y con quién trabaja?</w:t>
            </w:r>
          </w:p>
        </w:tc>
        <w:tc>
          <w:tcPr>
            <w:tcW w:type="dxa" w:w="439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Cliente, contrato, orden de servicio, asignación por proyecto, comunicaciones y convocatorias.</w:t>
            </w:r>
          </w:p>
        </w:tc>
        <w:tc>
          <w:tcPr>
            <w:tcW w:type="dxa" w:w="2304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Persona vinculada a un servicio con responsable y fechas.</w:t>
            </w:r>
          </w:p>
        </w:tc>
      </w:tr>
      <w:tr>
        <w:tc>
          <w:tcPr>
            <w:tcW w:type="dxa" w:w="108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4. Recursos</w:t>
            </w:r>
          </w:p>
        </w:tc>
        <w:tc>
          <w:tcPr>
            <w:tcW w:type="dxa" w:w="2304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¿Tiene lo necesario para ejecutar?</w:t>
            </w:r>
          </w:p>
        </w:tc>
        <w:tc>
          <w:tcPr>
            <w:tcW w:type="dxa" w:w="4392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EPP, vehículo, activo, herramienta, inventario, alojamiento, credencial y tercero.</w:t>
            </w:r>
          </w:p>
        </w:tc>
        <w:tc>
          <w:tcPr>
            <w:tcW w:type="dxa" w:w="2304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Brechas operativas identificadas antes de movilizar.</w:t>
            </w:r>
          </w:p>
        </w:tc>
      </w:tr>
      <w:tr>
        <w:tc>
          <w:tcPr>
            <w:tcW w:type="dxa" w:w="108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5. Ejecución</w:t>
            </w:r>
          </w:p>
        </w:tc>
        <w:tc>
          <w:tcPr>
            <w:tcW w:type="dxa" w:w="2304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¿Qué ocurrió durante el trabajo?</w:t>
            </w:r>
          </w:p>
        </w:tc>
        <w:tc>
          <w:tcPr>
            <w:tcW w:type="dxa" w:w="439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Centro Operativo, asistencia, incidentes, acciones correctivas y Libro de Obra adicional.</w:t>
            </w:r>
          </w:p>
        </w:tc>
        <w:tc>
          <w:tcPr>
            <w:tcW w:type="dxa" w:w="2304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Evidencia, compromisos, costos y estado actualizado.</w:t>
            </w:r>
          </w:p>
        </w:tc>
      </w:tr>
      <w:tr>
        <w:tc>
          <w:tcPr>
            <w:tcW w:type="dxa" w:w="108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6. Decisión</w:t>
            </w:r>
          </w:p>
        </w:tc>
        <w:tc>
          <w:tcPr>
            <w:tcW w:type="dxa" w:w="2304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¿Qué debemos corregir, renovar o vender?</w:t>
            </w:r>
          </w:p>
        </w:tc>
        <w:tc>
          <w:tcPr>
            <w:tcW w:type="dxa" w:w="4392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Panel, alertas, reportes, analítica y Gestor Comercial adicional.</w:t>
            </w:r>
          </w:p>
        </w:tc>
        <w:tc>
          <w:tcPr>
            <w:tcW w:type="dxa" w:w="2304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Decisiones por persona, cliente, contrato, orden o recurso.</w:t>
            </w:r>
          </w:p>
        </w:tc>
      </w:tr>
    </w:tbl>
    <w:p>
      <w:pPr>
        <w:spacing w:after="60"/>
      </w:pPr>
    </w:p>
    <w:p>
      <w:pPr>
        <w:spacing w:before="200" w:after="60"/>
      </w:pPr>
      <w:r>
        <w:rPr>
          <w:rFonts w:ascii="Arial" w:hAnsi="Arial"/>
          <w:b/>
          <w:color w:val="312E81"/>
          <w:sz w:val="32"/>
        </w:rPr>
        <w:t>Árbol del plan Inicial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21826"/>
          <w:sz w:val="19"/>
        </w:rPr>
        <w:t>Personas → ficha, tipo de trabajador, turnos, documentos, EPP, formación, exámenes, salud y restricciones.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21826"/>
          <w:sz w:val="19"/>
        </w:rPr>
        <w:t>Habilitación → auditoría, alertas, credenciales y requisitos del cliente.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21826"/>
          <w:sz w:val="19"/>
        </w:rPr>
        <w:t>Asignación → cliente → contrato → orden de servicio → persona habilitada.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21826"/>
          <w:sz w:val="19"/>
        </w:rPr>
        <w:t>Control → Panel General, alertas y reportes base para actuar a tiempo.</w:t>
      </w:r>
    </w:p>
    <w:p>
      <w:pPr>
        <w:spacing w:before="200" w:after="60"/>
      </w:pPr>
      <w:r>
        <w:rPr>
          <w:rFonts w:ascii="Arial" w:hAnsi="Arial"/>
          <w:b/>
          <w:color w:val="312E81"/>
          <w:sz w:val="32"/>
        </w:rPr>
        <w:t>Árbol del plan Platinum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21826"/>
          <w:sz w:val="19"/>
        </w:rPr>
        <w:t>Todo Inicial → personas habilitadas y órdenes con contexto comercial.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21826"/>
          <w:sz w:val="19"/>
        </w:rPr>
        <w:t>Recursos → vehículo, activo, herramienta, bodega, EPP, alojamiento, credencial y tercero.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21826"/>
          <w:sz w:val="19"/>
        </w:rPr>
        <w:t>Ejecución → Centro Operativo → asistencia → incidentes / acciones correctivas → evidencia.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21826"/>
          <w:sz w:val="19"/>
        </w:rPr>
        <w:t>Decisión → reportes operacionales, costos, analítica, renovación y expansión de servicios.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Arial" w:hAnsi="Arial"/>
          <w:b/>
          <w:color w:val="121826"/>
          <w:sz w:val="48"/>
        </w:rPr>
        <w:t>6. Matriz de visibilidad por línea</w:t>
      </w:r>
    </w:p>
    <w:p>
      <w:pPr>
        <w:spacing w:after="200"/>
      </w:pPr>
      <w:r>
        <w:rPr>
          <w:rFonts w:ascii="Arial" w:hAnsi="Arial"/>
          <w:color w:val="536177"/>
          <w:sz w:val="23"/>
        </w:rPr>
        <w:t>El cliente ve solo lo que necesita para operar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880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Grupo funcional</w:t>
            </w:r>
          </w:p>
        </w:tc>
        <w:tc>
          <w:tcPr>
            <w:tcW w:type="dxa" w:w="2376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Inicial</w:t>
            </w:r>
          </w:p>
        </w:tc>
        <w:tc>
          <w:tcPr>
            <w:tcW w:type="dxa" w:w="3168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Platinum</w:t>
            </w:r>
          </w:p>
        </w:tc>
        <w:tc>
          <w:tcPr>
            <w:tcW w:type="dxa" w:w="1728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Adicional</w:t>
            </w:r>
          </w:p>
        </w:tc>
      </w:tr>
      <w:tr>
        <w:tc>
          <w:tcPr>
            <w:tcW w:type="dxa" w:w="288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Panel y alertas</w:t>
            </w:r>
          </w:p>
        </w:tc>
        <w:tc>
          <w:tcPr>
            <w:tcW w:type="dxa" w:w="2376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Panel General, alertas y reportes base.</w:t>
            </w:r>
          </w:p>
        </w:tc>
        <w:tc>
          <w:tcPr>
            <w:tcW w:type="dxa" w:w="3168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Indicadores operacionales, costos y analítica avanzada.</w:t>
            </w:r>
          </w:p>
        </w:tc>
        <w:tc>
          <w:tcPr>
            <w:tcW w:type="dxa" w:w="1728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—</w:t>
            </w:r>
          </w:p>
        </w:tc>
      </w:tr>
      <w:tr>
        <w:tc>
          <w:tcPr>
            <w:tcW w:type="dxa" w:w="288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Personas y cumplimiento</w:t>
            </w:r>
          </w:p>
        </w:tc>
        <w:tc>
          <w:tcPr>
            <w:tcW w:type="dxa" w:w="2376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Incluido.</w:t>
            </w:r>
          </w:p>
        </w:tc>
        <w:tc>
          <w:tcPr>
            <w:tcW w:type="dxa" w:w="3168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Incluido + matrices y reglas avanzadas según opción.</w:t>
            </w:r>
          </w:p>
        </w:tc>
        <w:tc>
          <w:tcPr>
            <w:tcW w:type="dxa" w:w="1728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OCR y validación documental.</w:t>
            </w:r>
          </w:p>
        </w:tc>
      </w:tr>
      <w:tr>
        <w:tc>
          <w:tcPr>
            <w:tcW w:type="dxa" w:w="288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Relación comercial</w:t>
            </w:r>
          </w:p>
        </w:tc>
        <w:tc>
          <w:tcPr>
            <w:tcW w:type="dxa" w:w="2376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Clientes, contratos, firmas y órdenes.</w:t>
            </w:r>
          </w:p>
        </w:tc>
        <w:tc>
          <w:tcPr>
            <w:tcW w:type="dxa" w:w="3168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Incluido.</w:t>
            </w:r>
          </w:p>
        </w:tc>
        <w:tc>
          <w:tcPr>
            <w:tcW w:type="dxa" w:w="1728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Gestor Comercial.</w:t>
            </w:r>
          </w:p>
        </w:tc>
      </w:tr>
      <w:tr>
        <w:tc>
          <w:tcPr>
            <w:tcW w:type="dxa" w:w="288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Recursos y activos</w:t>
            </w:r>
          </w:p>
        </w:tc>
        <w:tc>
          <w:tcPr>
            <w:tcW w:type="dxa" w:w="2376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EPP y control base de persona.</w:t>
            </w:r>
          </w:p>
        </w:tc>
        <w:tc>
          <w:tcPr>
            <w:tcW w:type="dxa" w:w="3168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Vehículos, estadías, activos, inventario, mantenimiento y préstamos.</w:t>
            </w:r>
          </w:p>
        </w:tc>
        <w:tc>
          <w:tcPr>
            <w:tcW w:type="dxa" w:w="1728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Almacenamiento adicional.</w:t>
            </w:r>
          </w:p>
        </w:tc>
      </w:tr>
      <w:tr>
        <w:tc>
          <w:tcPr>
            <w:tcW w:type="dxa" w:w="288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Terceros</w:t>
            </w:r>
          </w:p>
        </w:tc>
        <w:tc>
          <w:tcPr>
            <w:tcW w:type="dxa" w:w="2376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—</w:t>
            </w:r>
          </w:p>
        </w:tc>
        <w:tc>
          <w:tcPr>
            <w:tcW w:type="dxa" w:w="3168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Subcontratos, convenios, personal, habilitaciones y evaluación.</w:t>
            </w:r>
          </w:p>
        </w:tc>
        <w:tc>
          <w:tcPr>
            <w:tcW w:type="dxa" w:w="1728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—</w:t>
            </w:r>
          </w:p>
        </w:tc>
      </w:tr>
      <w:tr>
        <w:tc>
          <w:tcPr>
            <w:tcW w:type="dxa" w:w="288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Ejecución</w:t>
            </w:r>
          </w:p>
        </w:tc>
        <w:tc>
          <w:tcPr>
            <w:tcW w:type="dxa" w:w="2376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Seguimiento de orden, alertas y reportes base.</w:t>
            </w:r>
          </w:p>
        </w:tc>
        <w:tc>
          <w:tcPr>
            <w:tcW w:type="dxa" w:w="3168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Centro Operativo, comunicaciones, incidentes y acciones correctivas.</w:t>
            </w:r>
          </w:p>
        </w:tc>
        <w:tc>
          <w:tcPr>
            <w:tcW w:type="dxa" w:w="1728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Libro de Obra Digital.</w:t>
            </w:r>
          </w:p>
        </w:tc>
      </w:tr>
      <w:tr>
        <w:tc>
          <w:tcPr>
            <w:tcW w:type="dxa" w:w="288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Gobierno</w:t>
            </w:r>
          </w:p>
        </w:tc>
        <w:tc>
          <w:tcPr>
            <w:tcW w:type="dxa" w:w="2376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Usuarios, permisos, privacidad, bitácora e importar/exportar.</w:t>
            </w:r>
          </w:p>
        </w:tc>
        <w:tc>
          <w:tcPr>
            <w:tcW w:type="dxa" w:w="3168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Configuración avanzada, costos e integración según opción.</w:t>
            </w:r>
          </w:p>
        </w:tc>
        <w:tc>
          <w:tcPr>
            <w:tcW w:type="dxa" w:w="1728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API, ERP, firma y mensajería.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rPr>
          <w:rFonts w:ascii="Arial" w:hAnsi="Arial"/>
          <w:color w:val="121826"/>
          <w:sz w:val="20"/>
        </w:rPr>
        <w:t>La Administración de clientes es de uso exclusivo del equipo interno de Nexo Klar. No forma parte de los planes vendidos a clientes finales.</w:t>
      </w:r>
    </w:p>
    <w:p>
      <w:pPr>
        <w:spacing w:before="200" w:after="60"/>
      </w:pPr>
      <w:r>
        <w:rPr>
          <w:rFonts w:ascii="Arial" w:hAnsi="Arial"/>
          <w:b/>
          <w:color w:val="312E81"/>
          <w:sz w:val="32"/>
        </w:rPr>
        <w:t>Cómo recomendar una opción en la reunión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4464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Situación detectada</w:t>
            </w:r>
          </w:p>
        </w:tc>
        <w:tc>
          <w:tcPr>
            <w:tcW w:type="dxa" w:w="5688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Recomendación</w:t>
            </w:r>
          </w:p>
        </w:tc>
      </w:tr>
      <w:tr>
        <w:tc>
          <w:tcPr>
            <w:tcW w:type="dxa" w:w="4464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La empresa necesita ordenar personas, documentos, vencimientos, clientes y órdenes.</w:t>
            </w:r>
          </w:p>
        </w:tc>
        <w:tc>
          <w:tcPr>
            <w:tcW w:type="dxa" w:w="5688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Nexo Klar Inicial Inicio o Equipo.</w:t>
            </w:r>
          </w:p>
        </w:tc>
      </w:tr>
      <w:tr>
        <w:tc>
          <w:tcPr>
            <w:tcW w:type="dxa" w:w="4464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Tiene varias órdenes, personal temporal, requisitos por cliente y más de un responsable.</w:t>
            </w:r>
          </w:p>
        </w:tc>
        <w:tc>
          <w:tcPr>
            <w:tcW w:type="dxa" w:w="5688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Nexo Klar Inicial Empresa o Nexo Klar Platinum Operación.</w:t>
            </w:r>
          </w:p>
        </w:tc>
      </w:tr>
      <w:tr>
        <w:tc>
          <w:tcPr>
            <w:tcW w:type="dxa" w:w="4464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Coordina vehículos, hoteles, activos, subcontratos, EPP, bodegas e incidentes.</w:t>
            </w:r>
          </w:p>
        </w:tc>
        <w:tc>
          <w:tcPr>
            <w:tcW w:type="dxa" w:w="5688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Nexo Klar Platinum Operación o Control.</w:t>
            </w:r>
          </w:p>
        </w:tc>
      </w:tr>
      <w:tr>
        <w:tc>
          <w:tcPr>
            <w:tcW w:type="dxa" w:w="4464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Tiene múltiples sedes, gran volumen, exigencias de auditoría, costos e integración.</w:t>
            </w:r>
          </w:p>
        </w:tc>
        <w:tc>
          <w:tcPr>
            <w:tcW w:type="dxa" w:w="5688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Nexo Klar Platinum Corporativo.</w:t>
            </w:r>
          </w:p>
        </w:tc>
      </w:tr>
      <w:tr>
        <w:tc>
          <w:tcPr>
            <w:tcW w:type="dxa" w:w="4464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Necesita formalizar acuerdos de terreno o administrar el embudo antes del contrato.</w:t>
            </w:r>
          </w:p>
        </w:tc>
        <w:tc>
          <w:tcPr>
            <w:tcW w:type="dxa" w:w="5688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Agregar Libro de Obra Digital y/o Gestor Comercial.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Arial" w:hAnsi="Arial"/>
          <w:b/>
          <w:color w:val="121826"/>
          <w:sz w:val="48"/>
        </w:rPr>
        <w:t>7. Condiciones comerciales y estrategia de cierre</w:t>
      </w:r>
    </w:p>
    <w:p>
      <w:pPr>
        <w:spacing w:after="200"/>
      </w:pPr>
      <w:r>
        <w:rPr>
          <w:rFonts w:ascii="Arial" w:hAnsi="Arial"/>
          <w:color w:val="536177"/>
          <w:sz w:val="23"/>
        </w:rPr>
        <w:t>Proteger el valor sin volver compleja la decisión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7272"/>
            <w:shd w:fill="312E81"/>
            <w:tcBorders>
              <w:top w:val="single" w:sz="8" w:color="312E81"/>
              <w:left w:val="single" w:sz="8" w:color="312E81"/>
              <w:bottom w:val="single" w:sz="8" w:color="312E81"/>
              <w:right w:val="single" w:sz="8" w:color="312E81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Propuesta</w:t>
            </w:r>
          </w:p>
        </w:tc>
      </w:tr>
      <w:tr>
        <w:tc>
          <w:tcPr>
            <w:tcW w:type="dxa" w:w="288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Plazo mínimo</w:t>
            </w:r>
          </w:p>
        </w:tc>
        <w:tc>
          <w:tcPr>
            <w:tcW w:type="dxa" w:w="727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12 meses para tarifas anuales. Modalidad mensual disponible con 15% adicional.</w:t>
            </w:r>
          </w:p>
        </w:tc>
      </w:tr>
      <w:tr>
        <w:tc>
          <w:tcPr>
            <w:tcW w:type="dxa" w:w="288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Descuento anual</w:t>
            </w:r>
          </w:p>
        </w:tc>
        <w:tc>
          <w:tcPr>
            <w:tcW w:type="dxa" w:w="7272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10% sobre suscripción o bonificación parcial de onboarding; no acumular ambos beneficios.</w:t>
            </w:r>
          </w:p>
        </w:tc>
      </w:tr>
      <w:tr>
        <w:tc>
          <w:tcPr>
            <w:tcW w:type="dxa" w:w="288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Crecimiento</w:t>
            </w:r>
          </w:p>
        </w:tc>
        <w:tc>
          <w:tcPr>
            <w:tcW w:type="dxa" w:w="727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Personas, usuarios, órdenes, almacenamiento y módulos adicionales se activan por contrato sin migración ni pérdida de historial.</w:t>
            </w:r>
          </w:p>
        </w:tc>
      </w:tr>
      <w:tr>
        <w:tc>
          <w:tcPr>
            <w:tcW w:type="dxa" w:w="288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Excesos</w:t>
            </w:r>
          </w:p>
        </w:tc>
        <w:tc>
          <w:tcPr>
            <w:tcW w:type="dxa" w:w="7272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Se informa al administrador y se regulariza con bloque de capacidad durante el siguiente ciclo; no se bloquea información crítica.</w:t>
            </w:r>
          </w:p>
        </w:tc>
      </w:tr>
      <w:tr>
        <w:tc>
          <w:tcPr>
            <w:tcW w:type="dxa" w:w="2880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Soporte</w:t>
            </w:r>
          </w:p>
        </w:tc>
        <w:tc>
          <w:tcPr>
            <w:tcW w:type="dxa" w:w="7272"/>
            <w:shd w:fill="F7F7FB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Diferenciado por opción. Requerimientos especiales, desarrollo, integración y carga histórica se cotizan como orden de trabajo.</w:t>
            </w:r>
          </w:p>
        </w:tc>
      </w:tr>
      <w:tr>
        <w:tc>
          <w:tcPr>
            <w:tcW w:type="dxa" w:w="2880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Renovación</w:t>
            </w:r>
          </w:p>
        </w:tc>
        <w:tc>
          <w:tcPr>
            <w:tcW w:type="dxa" w:w="7272"/>
            <w:shd w:fill="FFFFFF"/>
            <w:tcBorders>
              <w:top w:val="single" w:sz="8" w:color="D9DDEA"/>
              <w:left w:val="single" w:sz="8" w:color="D9DDEA"/>
              <w:bottom w:val="single" w:sz="8" w:color="D9DDEA"/>
              <w:right w:val="single" w:sz="8" w:color="D9DDEA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7"/>
              </w:rPr>
              <w:t>Revisión trimestral de uso, valor, capacidad, módulos y oportunidades de ajuste.</w:t>
            </w:r>
          </w:p>
        </w:tc>
      </w:tr>
    </w:tbl>
    <w:p>
      <w:pPr>
        <w:spacing w:after="60"/>
      </w:pPr>
    </w:p>
    <w:p>
      <w:pPr>
        <w:spacing w:before="200" w:after="60"/>
      </w:pPr>
      <w:r>
        <w:rPr>
          <w:rFonts w:ascii="Arial" w:hAnsi="Arial"/>
          <w:b/>
          <w:color w:val="312E81"/>
          <w:sz w:val="32"/>
        </w:rPr>
        <w:t>Guion comercial recomendado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21826"/>
          <w:sz w:val="19"/>
        </w:rPr>
        <w:t>Primero preguntar: “¿Cuánto tiempo tarda hoy en saber si una persona y una orden están listas para trabajar?”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21826"/>
          <w:sz w:val="19"/>
        </w:rPr>
        <w:t>Luego demostrar una única ruta: persona → requisitos → cliente → contrato → orden → recursos → alerta → reporte.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21826"/>
          <w:sz w:val="19"/>
        </w:rPr>
        <w:t>Recomendar una opción por dolor y capacidad, no por cantidad de módulos.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21826"/>
          <w:sz w:val="19"/>
        </w:rPr>
        <w:t>Cerrar con una implementación definida: qué se carga, quién valida, qué indicador se medirá y cuándo estará la primera operación activa.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21826"/>
          <w:sz w:val="19"/>
        </w:rPr>
        <w:t>Ofrecer Libro de Obra y Gestor Comercial únicamente cuando el problema lo justifique: formalidad de ejecución o control preventa.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1800"/>
            <w:tcBorders>
              <w:top w:val="single" w:sz="8" w:color="9BE5DC"/>
              <w:left w:val="single" w:sz="8" w:color="9BE5DC"/>
              <w:bottom w:val="single" w:sz="8" w:color="9BE5DC"/>
              <w:right w:val="single" w:sz="8" w:color="9BE5DC"/>
            </w:tcBorders>
            <w:shd w:fill="EAFBF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766E"/>
                <w:sz w:val="18"/>
              </w:rPr>
              <w:t>Mensaje de cierre</w:t>
            </w:r>
          </w:p>
        </w:tc>
        <w:tc>
          <w:tcPr>
            <w:tcW w:type="dxa" w:w="8280"/>
            <w:tcBorders>
              <w:top w:val="single" w:sz="8" w:color="9BE5DC"/>
              <w:left w:val="single" w:sz="8" w:color="9BE5DC"/>
              <w:bottom w:val="single" w:sz="8" w:color="9BE5DC"/>
              <w:right w:val="single" w:sz="8" w:color="9BE5DC"/>
            </w:tcBorders>
            <w:shd w:fill="EAFBF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8"/>
              </w:rPr>
              <w:t>“Nexo Klar no obliga a la empresa a cambiar todo de una vez. Parte con el control que necesita hoy y crece hacia la operación conectada cuando el negocio lo requiere.”</w:t>
            </w:r>
          </w:p>
        </w:tc>
      </w:tr>
    </w:tbl>
    <w:p>
      <w:pPr>
        <w:spacing w:after="60"/>
      </w:pPr>
    </w:p>
    <w:p>
      <w:pPr>
        <w:spacing w:before="200" w:after="60"/>
      </w:pPr>
      <w:r>
        <w:rPr>
          <w:rFonts w:ascii="Arial" w:hAnsi="Arial"/>
          <w:b/>
          <w:color w:val="312E81"/>
          <w:sz w:val="32"/>
        </w:rPr>
        <w:t>Referencias de modelo comercial</w:t>
      </w:r>
    </w:p>
    <w:p>
      <w:pPr>
        <w:spacing w:after="120" w:line="276" w:lineRule="auto"/>
      </w:pPr>
      <w:r>
        <w:rPr>
          <w:rFonts w:ascii="Arial" w:hAnsi="Arial"/>
          <w:color w:val="121826"/>
          <w:sz w:val="20"/>
        </w:rPr>
        <w:t>Esta estructura considera patrones vigentes de plataformas internacionales de field service y gestión operacional: Housecall Pro combina planes por usuarios y acompañamiento; ServiceM8 combina capacidad mensual de trabajos, mensajería y complementos; FieldPulse publica una lógica por técnico. Los valores de Nexo Klar son una propuesta propia para Chile y deben validarse con pilotos, costos cloud, soporte y consumo real.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21826"/>
          <w:sz w:val="19"/>
        </w:rPr>
        <w:t>Housecall Pro Pricing: niveles por usuarios, soporte y plan anual.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21826"/>
          <w:sz w:val="19"/>
        </w:rPr>
        <w:t>ServiceM8 Pricing: capacidad de trabajos, mensajería, complementos y crecimiento de plan.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21826"/>
          <w:sz w:val="19"/>
        </w:rPr>
        <w:t>FieldPulse Pricing: modelo por técnico y paquetes configurables.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1800"/>
            <w:tcBorders>
              <w:top w:val="single" w:sz="8" w:color="9BE5DC"/>
              <w:left w:val="single" w:sz="8" w:color="9BE5DC"/>
              <w:bottom w:val="single" w:sz="8" w:color="9BE5DC"/>
              <w:right w:val="single" w:sz="8" w:color="9BE5DC"/>
            </w:tcBorders>
            <w:shd w:fill="EAFBF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766E"/>
                <w:sz w:val="18"/>
              </w:rPr>
              <w:t>Resumen</w:t>
            </w:r>
          </w:p>
        </w:tc>
        <w:tc>
          <w:tcPr>
            <w:tcW w:type="dxa" w:w="8280"/>
            <w:tcBorders>
              <w:top w:val="single" w:sz="8" w:color="9BE5DC"/>
              <w:left w:val="single" w:sz="8" w:color="9BE5DC"/>
              <w:bottom w:val="single" w:sz="8" w:color="9BE5DC"/>
              <w:right w:val="single" w:sz="8" w:color="9BE5DC"/>
            </w:tcBorders>
            <w:shd w:fill="EAFBF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21826"/>
                <w:sz w:val="18"/>
              </w:rPr>
              <w:t>Nexo Klar Inicial ordena y habilita. Nexo Klar Platinum coordina, controla y escala. Libro de Obra Digital y Gestor Comercial amplían la trazabilidad sin obligar a todos los clientes a pagar por capacidades que no usan.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64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36177"/>
        <w:sz w:val="16"/>
      </w:rPr>
      <w:t>Documento comercial interno · Valores netos referenciales en CLP · Agosto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36177"/>
        <w:sz w:val="16"/>
      </w:rPr>
      <w:t>NEXO KLAR SPA · OFERTA SaaS 2026–2027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