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Hands-On 2</w:t>
      </w:r>
    </w:p>
    <w:bookmarkStart w:id="15" w:name="cart-decision-trees"/>
    <w:p>
      <w:pPr>
        <w:pStyle w:val="Heading1"/>
      </w:pPr>
      <w:r>
        <w:t xml:space="preserve">2.1 CART decision trees</w:t>
      </w:r>
    </w:p>
    <w:p>
      <w:pPr>
        <w:pStyle w:val="FirstParagraph"/>
      </w:pPr>
      <w:r>
        <w:t xml:space="preserve">Consider a classification dataset with three binary input attributes,</w:t>
      </w:r>
      <w:r>
        <w:t xml:space="preserve"> </w:t>
      </w:r>
      <m:oMath>
        <m:sSub>
          <m:e>
            <m:r>
              <m:t>A</m:t>
            </m:r>
          </m:e>
          <m:sub>
            <m:r>
              <m:t>1</m:t>
            </m:r>
          </m:sub>
        </m:sSub>
      </m:oMath>
      <w:r>
        <w:t xml:space="preserve">,</w:t>
      </w:r>
      <w:r>
        <w:t xml:space="preserve"> </w:t>
      </w:r>
      <m:oMath>
        <m:sSub>
          <m:e>
            <m:r>
              <m:t>A</m:t>
            </m:r>
          </m:e>
          <m:sub>
            <m:r>
              <m:t>2</m:t>
            </m:r>
          </m:sub>
        </m:sSub>
      </m:oMath>
      <w:r>
        <w:t xml:space="preserve">, and</w:t>
      </w:r>
      <w:r>
        <w:t xml:space="preserve"> </w:t>
      </w:r>
      <m:oMath>
        <m:sSub>
          <m:e>
            <m:r>
              <m:t>A</m:t>
            </m:r>
          </m:e>
          <m:sub>
            <m:r>
              <m:t>3</m:t>
            </m:r>
          </m:sub>
        </m:sSub>
      </m:oMath>
      <w:r>
        <w:t xml:space="preserve">, and a binary output</w:t>
      </w:r>
      <w:r>
        <w:t xml:space="preserve"> </w:t>
      </w:r>
      <m:oMath>
        <m:r>
          <m:t>Y</m:t>
        </m:r>
      </m:oMath>
      <w:r>
        <w:t xml:space="preserve">. A CART decision tree learns a sequence of splits that recursively divides the feature space. In the figures below, the lines indicate the final decision boundaries produced by the tree. The features used by the tree determine where those axis-aligned partitions are placed.</w:t>
      </w:r>
    </w:p>
    <w:p>
      <w:pPr>
        <w:pStyle w:val="BodyText"/>
      </w:pPr>
      <w:r>
        <w:t xml:space="preserve">The following small dataset is used as a reference example: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Example</w:t>
            </w:r>
          </w:p>
        </w:tc>
        <w:tc>
          <w:tcPr/>
          <w:p>
            <w:pPr>
              <w:pStyle w:val="Compact"/>
              <w:jc w:val="right"/>
            </w:pPr>
            <m:oMath>
              <m:sSub>
                <m:e>
                  <m:r>
                    <m:t>A</m:t>
                  </m:r>
                </m:e>
                <m:sub>
                  <m:r>
                    <m:t>1</m:t>
                  </m:r>
                </m:sub>
              </m:sSub>
            </m:oMath>
            <w:r>
              <w:t xml:space="preserve">​</w:t>
            </w:r>
          </w:p>
        </w:tc>
        <w:tc>
          <w:tcPr/>
          <w:p>
            <w:pPr>
              <w:pStyle w:val="Compact"/>
              <w:jc w:val="right"/>
            </w:pPr>
            <m:oMath>
              <m:sSub>
                <m:e>
                  <m:r>
                    <m:t>A</m:t>
                  </m:r>
                </m:e>
                <m:sub>
                  <m:r>
                    <m:t>2</m:t>
                  </m:r>
                </m:sub>
              </m:sSub>
            </m:oMath>
            <w:r>
              <w:t xml:space="preserve">​</w:t>
            </w:r>
          </w:p>
        </w:tc>
        <w:tc>
          <w:tcPr/>
          <w:p>
            <w:pPr>
              <w:pStyle w:val="Compact"/>
              <w:jc w:val="right"/>
            </w:pPr>
            <m:oMath>
              <m:sSub>
                <m:e>
                  <m:r>
                    <m:t>A</m:t>
                  </m:r>
                </m:e>
                <m:sub>
                  <m:r>
                    <m:t>3</m:t>
                  </m:r>
                </m:sub>
              </m:sSub>
            </m:oMath>
            <w:r>
              <w:t xml:space="preserve">​</w:t>
            </w:r>
          </w:p>
        </w:tc>
        <w:tc>
          <w:tcPr/>
          <w:p>
            <w:pPr>
              <w:pStyle w:val="Compact"/>
              <w:jc w:val="right"/>
            </w:pPr>
            <m:oMath>
              <m:r>
                <m:t>Y</m:t>
              </m:r>
            </m:oMath>
            <w:r>
              <w:t xml:space="preserve">​</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bl>
    <w:p>
      <w:pPr>
        <w:pStyle w:val="BodyText"/>
      </w:pPr>
      <w:r>
        <w:drawing>
          <wp:inline>
            <wp:extent cx="3730752" cy="2906664"/>
            <wp:effectExtent b="0" l="0" r="0" t="0"/>
            <wp:docPr descr="" title="" id="10" name="Picture"/>
            <a:graphic>
              <a:graphicData uri="http://schemas.openxmlformats.org/drawingml/2006/picture">
                <pic:pic>
                  <pic:nvPicPr>
                    <pic:cNvPr descr="media/handout/cart_example_boundary.png" id="11" name="Picture"/>
                    <pic:cNvPicPr>
                      <a:picLocks noChangeArrowheads="1" noChangeAspect="1"/>
                    </pic:cNvPicPr>
                  </pic:nvPicPr>
                  <pic:blipFill>
                    <a:blip r:embed="rId9"/>
                    <a:stretch>
                      <a:fillRect/>
                    </a:stretch>
                  </pic:blipFill>
                  <pic:spPr bwMode="auto">
                    <a:xfrm>
                      <a:off x="0" y="0"/>
                      <a:ext cx="3730752" cy="2906664"/>
                    </a:xfrm>
                    <a:prstGeom prst="rect">
                      <a:avLst/>
                    </a:prstGeom>
                    <a:noFill/>
                    <a:ln w="9525">
                      <a:noFill/>
                      <a:headEnd/>
                      <a:tailEnd/>
                    </a:ln>
                  </pic:spPr>
                </pic:pic>
              </a:graphicData>
            </a:graphic>
          </wp:inline>
        </w:drawing>
      </w:r>
    </w:p>
    <w:p>
      <w:pPr>
        <w:pStyle w:val="BodyText"/>
      </w:pPr>
      <w:r>
        <w:t xml:space="preserve">We use CART with</w:t>
      </w:r>
      <w:r>
        <w:t xml:space="preserve"> </w:t>
      </w:r>
      <w:r>
        <w:rPr>
          <w:b/>
          <w:bCs/>
        </w:rPr>
        <w:t xml:space="preserve">Gini impurity</w:t>
      </w:r>
      <w:r>
        <w:t xml:space="preserve"> </w:t>
      </w:r>
      <w:r>
        <w:t xml:space="preserve">and choose, at each node, the split with the</w:t>
      </w:r>
      <w:r>
        <w:t xml:space="preserve"> </w:t>
      </w:r>
      <w:r>
        <w:rPr>
          <w:b/>
          <w:bCs/>
        </w:rPr>
        <w:t xml:space="preserve">minimum weighted Gini impurity</w:t>
      </w:r>
      <w:r>
        <w:t xml:space="preserve">. For a node containing two classes,</w:t>
      </w:r>
    </w:p>
    <w:p>
      <w:pPr>
        <w:pStyle w:val="BodyText"/>
      </w:pPr>
      <m:oMathPara>
        <m:oMathParaPr>
          <m:jc m:val="center"/>
        </m:oMathParaPr>
        <m:oMath>
          <m:r>
            <m:t>G</m:t>
          </m:r>
          <m:r>
            <m:rPr>
              <m:sty m:val="p"/>
            </m:rPr>
            <m:t>=</m:t>
          </m:r>
          <m:r>
            <m:t>1</m:t>
          </m:r>
          <m:r>
            <m:rPr>
              <m:sty m:val="p"/>
            </m:rPr>
            <m:t>−</m:t>
          </m:r>
          <m:d>
            <m:dPr>
              <m:begChr m:val="("/>
              <m:sepChr m:val=""/>
              <m:endChr m:val=")"/>
              <m:grow/>
            </m:dPr>
            <m:e>
              <m:sSubSup>
                <m:e>
                  <m:r>
                    <m:t>p</m:t>
                  </m:r>
                </m:e>
                <m:sub>
                  <m:r>
                    <m:t>0</m:t>
                  </m:r>
                </m:sub>
                <m:sup>
                  <m:r>
                    <m:t>2</m:t>
                  </m:r>
                </m:sup>
              </m:sSubSup>
              <m:r>
                <m:rPr>
                  <m:sty m:val="p"/>
                </m:rPr>
                <m:t>+</m:t>
              </m:r>
              <m:sSubSup>
                <m:e>
                  <m:r>
                    <m:t>p</m:t>
                  </m:r>
                </m:e>
                <m:sub>
                  <m:r>
                    <m:t>1</m:t>
                  </m:r>
                </m:sub>
                <m:sup>
                  <m:r>
                    <m:t>2</m:t>
                  </m:r>
                </m:sup>
              </m:sSubSup>
            </m:e>
          </m:d>
          <m:r>
            <m:rPr>
              <m:sty m:val="p"/>
            </m:rPr>
            <m:t>,</m:t>
          </m:r>
        </m:oMath>
      </m:oMathPara>
    </w:p>
    <w:p>
      <w:pPr>
        <w:pStyle w:val="FirstParagraph"/>
      </w:pPr>
      <w:r>
        <w:t xml:space="preserve">where</w:t>
      </w:r>
      <w:r>
        <w:t xml:space="preserve"> </w:t>
      </w:r>
      <m:oMath>
        <m:sSub>
          <m:e>
            <m:r>
              <m:t>p</m:t>
            </m:r>
          </m:e>
          <m:sub>
            <m:r>
              <m:t>c</m:t>
            </m:r>
          </m:sub>
        </m:sSub>
      </m:oMath>
      <w:r>
        <w:t xml:space="preserve"> </w:t>
      </w:r>
      <w:r>
        <w:t xml:space="preserve">is the fraction of observations in class</w:t>
      </w:r>
      <w:r>
        <w:t xml:space="preserve"> </w:t>
      </w:r>
      <m:oMath>
        <m:r>
          <m:t>c</m:t>
        </m:r>
      </m:oMath>
      <w:r>
        <w:t xml:space="preserve">.</w:t>
      </w:r>
    </w:p>
    <w:p>
      <w:pPr>
        <w:pStyle w:val="BodyText"/>
      </w:pPr>
      <w:r>
        <w:t xml:space="preserve">For a candidate split producing left and right child nodes,</w:t>
      </w:r>
    </w:p>
    <w:p>
      <w:pPr>
        <w:pStyle w:val="BodyText"/>
      </w:pPr>
      <m:oMathPara>
        <m:oMathParaPr>
          <m:jc m:val="center"/>
        </m:oMathParaPr>
        <m:oMath>
          <m:sSub>
            <m:e>
              <m:r>
                <m:t>G</m:t>
              </m:r>
            </m:e>
            <m:sub>
              <m:r>
                <m:rPr>
                  <m:nor/>
                  <m:sty m:val="p"/>
                </m:rPr>
                <m:t>split</m:t>
              </m:r>
            </m:sub>
          </m:sSub>
          <m:r>
            <m:rPr>
              <m:sty m:val="p"/>
            </m:rPr>
            <m:t>=</m:t>
          </m:r>
          <m:f>
            <m:fPr>
              <m:type m:val="bar"/>
            </m:fPr>
            <m:num>
              <m:sSub>
                <m:e>
                  <m:r>
                    <m:t>n</m:t>
                  </m:r>
                </m:e>
                <m:sub>
                  <m:r>
                    <m:t>L</m:t>
                  </m:r>
                </m:sub>
              </m:sSub>
            </m:num>
            <m:den>
              <m:r>
                <m:t>n</m:t>
              </m:r>
            </m:den>
          </m:f>
          <m:sSub>
            <m:e>
              <m:r>
                <m:t>G</m:t>
              </m:r>
            </m:e>
            <m:sub>
              <m:r>
                <m:t>L</m:t>
              </m:r>
            </m:sub>
          </m:sSub>
          <m:r>
            <m:rPr>
              <m:sty m:val="p"/>
            </m:rPr>
            <m:t>+</m:t>
          </m:r>
          <m:f>
            <m:fPr>
              <m:type m:val="bar"/>
            </m:fPr>
            <m:num>
              <m:sSub>
                <m:e>
                  <m:r>
                    <m:t>n</m:t>
                  </m:r>
                </m:e>
                <m:sub>
                  <m:r>
                    <m:t>R</m:t>
                  </m:r>
                </m:sub>
              </m:sSub>
            </m:num>
            <m:den>
              <m:r>
                <m:t>n</m:t>
              </m:r>
            </m:den>
          </m:f>
          <m:sSub>
            <m:e>
              <m:r>
                <m:t>G</m:t>
              </m:r>
            </m:e>
            <m:sub>
              <m:r>
                <m:t>R</m:t>
              </m:r>
            </m:sub>
          </m:sSub>
          <m:r>
            <m:rPr>
              <m:sty m:val="p"/>
            </m:rPr>
            <m:t>.</m:t>
          </m:r>
        </m:oMath>
      </m:oMathPara>
    </w:p>
    <w:p>
      <w:pPr>
        <w:pStyle w:val="FirstParagraph"/>
      </w:pPr>
      <w:r>
        <w:t xml:space="preserve">The split is evaluated by computing the impurity of each child and then weighting each impurity by the proportion of observations sent to that child. A pure child node has Gini impurity equal to zero.</w:t>
      </w:r>
    </w:p>
    <w:p>
      <w:pPr>
        <w:pStyle w:val="BodyText"/>
      </w:pPr>
      <w:r>
        <w:t xml:space="preserve">Now apply the same procedure to the dataset below, using the reference example above as a guide.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Example</w:t>
            </w:r>
          </w:p>
        </w:tc>
        <w:tc>
          <w:tcPr/>
          <w:p>
            <w:pPr>
              <w:pStyle w:val="Compact"/>
              <w:jc w:val="right"/>
            </w:pPr>
            <m:oMath>
              <m:sSub>
                <m:e>
                  <m:r>
                    <m:t>A</m:t>
                  </m:r>
                </m:e>
                <m:sub>
                  <m:r>
                    <m:t>1</m:t>
                  </m:r>
                </m:sub>
              </m:sSub>
            </m:oMath>
            <w:r>
              <w:t xml:space="preserve">​</w:t>
            </w:r>
          </w:p>
        </w:tc>
        <w:tc>
          <w:tcPr/>
          <w:p>
            <w:pPr>
              <w:pStyle w:val="Compact"/>
              <w:jc w:val="right"/>
            </w:pPr>
            <m:oMath>
              <m:sSub>
                <m:e>
                  <m:r>
                    <m:t>A</m:t>
                  </m:r>
                </m:e>
                <m:sub>
                  <m:r>
                    <m:t>2</m:t>
                  </m:r>
                </m:sub>
              </m:sSub>
            </m:oMath>
            <w:r>
              <w:t xml:space="preserve">​</w:t>
            </w:r>
          </w:p>
        </w:tc>
        <w:tc>
          <w:tcPr/>
          <w:p>
            <w:pPr>
              <w:pStyle w:val="Compact"/>
              <w:jc w:val="right"/>
            </w:pPr>
            <m:oMath>
              <m:sSub>
                <m:e>
                  <m:r>
                    <m:t>A</m:t>
                  </m:r>
                </m:e>
                <m:sub>
                  <m:r>
                    <m:t>3</m:t>
                  </m:r>
                </m:sub>
              </m:sSub>
            </m:oMath>
            <w:r>
              <w:t xml:space="preserve">​</w:t>
            </w:r>
          </w:p>
        </w:tc>
        <w:tc>
          <w:tcPr/>
          <w:p>
            <w:pPr>
              <w:pStyle w:val="Compact"/>
              <w:jc w:val="right"/>
            </w:pPr>
            <m:oMath>
              <m:r>
                <m:t>Y</m:t>
              </m:r>
            </m:oMath>
            <w:r>
              <w:t xml:space="preserve">​</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bl>
    <w:p>
      <w:pPr>
        <w:pStyle w:val="BodyText"/>
      </w:pPr>
      <w:r>
        <w:drawing>
          <wp:inline>
            <wp:extent cx="3730752" cy="2906664"/>
            <wp:effectExtent b="0" l="0" r="0" t="0"/>
            <wp:docPr descr="" title="" id="13" name="Picture"/>
            <a:graphic>
              <a:graphicData uri="http://schemas.openxmlformats.org/drawingml/2006/picture">
                <pic:pic>
                  <pic:nvPicPr>
                    <pic:cNvPr descr="media/handout/cart_exercise_boundary.png" id="14" name="Picture"/>
                    <pic:cNvPicPr>
                      <a:picLocks noChangeArrowheads="1" noChangeAspect="1"/>
                    </pic:cNvPicPr>
                  </pic:nvPicPr>
                  <pic:blipFill>
                    <a:blip r:embed="rId12"/>
                    <a:stretch>
                      <a:fillRect/>
                    </a:stretch>
                  </pic:blipFill>
                  <pic:spPr bwMode="auto">
                    <a:xfrm>
                      <a:off x="0" y="0"/>
                      <a:ext cx="3730752" cy="2906664"/>
                    </a:xfrm>
                    <a:prstGeom prst="rect">
                      <a:avLst/>
                    </a:prstGeom>
                    <a:noFill/>
                    <a:ln w="9525">
                      <a:noFill/>
                      <a:headEnd/>
                      <a:tailEnd/>
                    </a:ln>
                  </pic:spPr>
                </pic:pic>
              </a:graphicData>
            </a:graphic>
          </wp:inline>
        </w:drawing>
      </w:r>
    </w:p>
    <w:p>
      <w:pPr>
        <w:pStyle w:val="BodyText"/>
      </w:pPr>
      <w:r>
        <w:t xml:space="preserve">Your task is to use CART to learn a decision tree for these data.</w:t>
      </w:r>
      <w:r>
        <w:t xml:space="preserve"> </w:t>
      </w:r>
      <w:r>
        <w:rPr>
          <w:b/>
          <w:bCs/>
        </w:rPr>
        <w:t xml:space="preserve">Show the computations used to decide which attribute is selected at every node.</w:t>
      </w:r>
      <w:r>
        <w:t xml:space="preserve"> </w:t>
      </w:r>
      <w:r>
        <w:t xml:space="preserve">The final tree should be consistent with the geometry of the feature-space partition shown in the figure.</w:t>
      </w:r>
    </w:p>
    <w:p>
      <w:pPr>
        <w:pStyle w:val="Compact"/>
        <w:numPr>
          <w:ilvl w:val="0"/>
          <w:numId w:val="1001"/>
        </w:numPr>
      </w:pPr>
      <w:r>
        <w:t xml:space="preserve">Compute the Gini impurity at the root node.</w:t>
      </w:r>
    </w:p>
    <w:p>
      <w:pPr>
        <w:pStyle w:val="Compact"/>
        <w:numPr>
          <w:ilvl w:val="0"/>
          <w:numId w:val="1001"/>
        </w:numPr>
      </w:pPr>
      <w:r>
        <w:t xml:space="preserve">Evaluate the candidate root split on each feature</w:t>
      </w:r>
      <w:r>
        <w:t xml:space="preserve"> </w:t>
      </w:r>
      <m:oMath>
        <m:sSub>
          <m:e>
            <m:r>
              <m:t>A</m:t>
            </m:r>
          </m:e>
          <m:sub>
            <m:r>
              <m:t>1</m:t>
            </m:r>
          </m:sub>
        </m:sSub>
      </m:oMath>
      <w:r>
        <w:t xml:space="preserve">,</w:t>
      </w:r>
      <w:r>
        <w:t xml:space="preserve"> </w:t>
      </w:r>
      <m:oMath>
        <m:sSub>
          <m:e>
            <m:r>
              <m:t>A</m:t>
            </m:r>
          </m:e>
          <m:sub>
            <m:r>
              <m:t>2</m:t>
            </m:r>
          </m:sub>
        </m:sSub>
      </m:oMath>
      <w:r>
        <w:t xml:space="preserve">, and</w:t>
      </w:r>
      <w:r>
        <w:t xml:space="preserve"> </w:t>
      </w:r>
      <m:oMath>
        <m:sSub>
          <m:e>
            <m:r>
              <m:t>A</m:t>
            </m:r>
          </m:e>
          <m:sub>
            <m:r>
              <m:t>3</m:t>
            </m:r>
          </m:sub>
        </m:sSub>
      </m:oMath>
      <w:r>
        <w:t xml:space="preserve">:</w:t>
      </w:r>
    </w:p>
    <w:p>
      <w:pPr>
        <w:pStyle w:val="Compact"/>
        <w:numPr>
          <w:ilvl w:val="1"/>
          <w:numId w:val="1002"/>
        </w:numPr>
      </w:pPr>
      <w:r>
        <w:t xml:space="preserve">identify which observations go to each child;</w:t>
      </w:r>
    </w:p>
    <w:p>
      <w:pPr>
        <w:pStyle w:val="Compact"/>
        <w:numPr>
          <w:ilvl w:val="1"/>
          <w:numId w:val="1002"/>
        </w:numPr>
      </w:pPr>
      <w:r>
        <w:t xml:space="preserve">compute the class proportions in each child;</w:t>
      </w:r>
    </w:p>
    <w:p>
      <w:pPr>
        <w:pStyle w:val="Compact"/>
        <w:numPr>
          <w:ilvl w:val="1"/>
          <w:numId w:val="1002"/>
        </w:numPr>
      </w:pPr>
      <w:r>
        <w:t xml:space="preserve">compute the Gini impurity of each child;</w:t>
      </w:r>
    </w:p>
    <w:p>
      <w:pPr>
        <w:pStyle w:val="Compact"/>
        <w:numPr>
          <w:ilvl w:val="1"/>
          <w:numId w:val="1002"/>
        </w:numPr>
      </w:pPr>
      <w:r>
        <w:t xml:space="preserve">compute the weighted Gini impurity of the split.</w:t>
      </w:r>
    </w:p>
    <w:p>
      <w:pPr>
        <w:pStyle w:val="Compact"/>
        <w:numPr>
          <w:ilvl w:val="0"/>
          <w:numId w:val="1001"/>
        </w:numPr>
      </w:pPr>
      <w:r>
        <w:t xml:space="preserve">Select the root split with the smallest weighted impurity.</w:t>
      </w:r>
    </w:p>
    <w:p>
      <w:pPr>
        <w:pStyle w:val="Compact"/>
        <w:numPr>
          <w:ilvl w:val="0"/>
          <w:numId w:val="1001"/>
        </w:numPr>
      </w:pPr>
      <w:r>
        <w:t xml:space="preserve">Continue recursively for every child that is not pure. At each new node, show the same calculations used to select the next split.</w:t>
      </w:r>
    </w:p>
    <w:p>
      <w:pPr>
        <w:pStyle w:val="Compact"/>
        <w:numPr>
          <w:ilvl w:val="0"/>
          <w:numId w:val="1001"/>
        </w:numPr>
      </w:pPr>
      <w:r>
        <w:t xml:space="preserve">Stop when the leaves are pure or no useful split remains.</w:t>
      </w:r>
    </w:p>
    <w:p>
      <w:pPr>
        <w:pStyle w:val="Compact"/>
        <w:numPr>
          <w:ilvl w:val="0"/>
          <w:numId w:val="1001"/>
        </w:numPr>
      </w:pPr>
      <w:r>
        <w:t xml:space="preserve">Draw the final tree and write the corresponding decision rules.</w:t>
      </w:r>
    </w:p>
    <w:p>
      <w:pPr>
        <w:pStyle w:val="Compact"/>
        <w:numPr>
          <w:ilvl w:val="0"/>
          <w:numId w:val="1001"/>
        </w:numPr>
      </w:pPr>
      <w:r>
        <w:t xml:space="preserve">Relate the tree to the figure: which feature creates the first partition of the space, and which feature or features refine the remaining mixed region?</w:t>
      </w:r>
    </w:p>
    <w:p>
      <w:pPr>
        <w:pStyle w:val="BlockText"/>
      </w:pPr>
      <w:r>
        <w:rPr>
          <w:b/>
          <w:bCs/>
        </w:rPr>
        <w:t xml:space="preserve">ML insight: a tree is a partition of feature space</w:t>
      </w:r>
    </w:p>
    <w:p>
      <w:pPr>
        <w:pStyle w:val="BlockText"/>
      </w:pPr>
      <w:r>
        <w:t xml:space="preserve">A CART tree is not only a hierarchy of if-then rules. Every internal node introduces an axis-aligned cut in feature space. Following the tree from root to leaf therefore corresponds to locating an observation inside progressively smaller regions of that space.</w:t>
      </w:r>
    </w:p>
    <w:bookmarkEnd w:id="15"/>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Hands-On 2</dc:title>
  <dc:creator/>
  <cp:keywords/>
  <dcterms:created xsi:type="dcterms:W3CDTF">2026-10-03T15:52:45Z</dcterms:created>
  <dcterms:modified xsi:type="dcterms:W3CDTF">2026-10-03T15:52:45Z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