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I: Hands-On 6: Worked Solutions</w:t>
      </w:r>
    </w:p>
    <w:bookmarkStart w:id="9" w:name="comparing-classification-performance"/>
    <w:p>
      <w:pPr>
        <w:pStyle w:val="Heading1"/>
      </w:pPr>
      <w:r>
        <w:t xml:space="preserve">Comparing classification performance</w:t>
      </w:r>
    </w:p>
    <w:p>
      <w:pPr>
        <w:pStyle w:val="FirstParagraph"/>
      </w:pPr>
      <w:r>
        <w:t xml:space="preserve">These worked solutions follow the same experiments as the HO6 notebook. The numerical values below use the notebook configuration: stratified 10-fold cross-validation with shuffling and</w:t>
      </w:r>
      <w:r>
        <w:t xml:space="preserve"> </w:t>
      </w:r>
      <w:r>
        <w:rPr>
          <w:rStyle w:val="VerbatimChar"/>
        </w:rPr>
        <w:t xml:space="preserve">random_state=0</w:t>
      </w:r>
      <w:r>
        <w:t xml:space="preserve">.</w:t>
      </w:r>
    </w:p>
    <w:bookmarkEnd w:id="9"/>
    <w:bookmarkStart w:id="10" w:name="inspect-three-classification-tasks"/>
    <w:p>
      <w:pPr>
        <w:pStyle w:val="Heading1"/>
      </w:pPr>
      <w:r>
        <w:t xml:space="preserve">6.1 Inspect three classification tasks</w:t>
      </w:r>
    </w:p>
    <w:p>
      <w:pPr>
        <w:pStyle w:val="FirstParagraph"/>
      </w:pPr>
      <w:r>
        <w:t xml:space="preserve">All three datasets contain 200 observations, two predictors (</w:t>
      </w:r>
      <w:r>
        <w:rPr>
          <w:rStyle w:val="VerbatimChar"/>
        </w:rPr>
        <w:t xml:space="preserve">X1</w:t>
      </w:r>
      <w:r>
        <w:t xml:space="preserve">,</w:t>
      </w:r>
      <w:r>
        <w:t xml:space="preserve"> </w:t>
      </w:r>
      <w:r>
        <w:rPr>
          <w:rStyle w:val="VerbatimChar"/>
        </w:rPr>
        <w:t xml:space="preserve">X2</w:t>
      </w:r>
      <w:r>
        <w:t xml:space="preserve">), and one target (</w:t>
      </w:r>
      <w:r>
        <w:rPr>
          <w:rStyle w:val="VerbatimChar"/>
        </w:rPr>
        <w:t xml:space="preserve">Class</w:t>
      </w:r>
      <w:r>
        <w:t xml:space="preserve">). Their class counts are: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right"/>
            </w:pPr>
            <w:r>
              <w:t xml:space="preserve">Class 0</w:t>
            </w:r>
          </w:p>
        </w:tc>
        <w:tc>
          <w:tcPr/>
          <w:p>
            <w:pPr>
              <w:pStyle w:val="Compact"/>
              <w:jc w:val="right"/>
            </w:pPr>
            <w:r>
              <w:t xml:space="preserve">Class 1</w:t>
            </w:r>
          </w:p>
        </w:tc>
        <w:tc>
          <w:tcPr/>
          <w:p>
            <w:pPr>
              <w:pStyle w:val="Compact"/>
              <w:jc w:val="right"/>
            </w:pPr>
            <w:r>
              <w:t xml:space="preserve">Class 2</w:t>
            </w:r>
          </w:p>
        </w:tc>
        <w:tc>
          <w:tcPr/>
          <w:p>
            <w:pPr>
              <w:pStyle w:val="Compact"/>
              <w:jc w:val="right"/>
            </w:pPr>
            <w:r>
              <w:t xml:space="preserve">Total</w:t>
            </w:r>
          </w:p>
        </w:tc>
      </w:tr>
      <w:tr>
        <w:tc>
          <w:tcPr/>
          <w:p>
            <w:pPr>
              <w:pStyle w:val="Compact"/>
              <w:jc w:val="left"/>
            </w:pPr>
            <w:r>
              <w:rPr>
                <w:rStyle w:val="VerbatimChar"/>
              </w:rPr>
              <w:t xml:space="preserve">ds1</w:t>
            </w:r>
          </w:p>
        </w:tc>
        <w:tc>
          <w:tcPr/>
          <w:p>
            <w:pPr>
              <w:pStyle w:val="Compact"/>
              <w:jc w:val="right"/>
            </w:pPr>
            <w:r>
              <w:t xml:space="preserve">67</w:t>
            </w:r>
          </w:p>
        </w:tc>
        <w:tc>
          <w:tcPr/>
          <w:p>
            <w:pPr>
              <w:pStyle w:val="Compact"/>
              <w:jc w:val="right"/>
            </w:pPr>
            <w:r>
              <w:t xml:space="preserve">67</w:t>
            </w:r>
          </w:p>
        </w:tc>
        <w:tc>
          <w:tcPr/>
          <w:p>
            <w:pPr>
              <w:pStyle w:val="Compact"/>
              <w:jc w:val="right"/>
            </w:pPr>
            <w:r>
              <w:t xml:space="preserve">66</w:t>
            </w:r>
          </w:p>
        </w:tc>
        <w:tc>
          <w:tcPr/>
          <w:p>
            <w:pPr>
              <w:pStyle w:val="Compact"/>
              <w:jc w:val="right"/>
            </w:pPr>
            <w:r>
              <w:t xml:space="preserve">200</w:t>
            </w:r>
          </w:p>
        </w:tc>
      </w:tr>
      <w:tr>
        <w:tc>
          <w:tcPr/>
          <w:p>
            <w:pPr>
              <w:pStyle w:val="Compact"/>
              <w:jc w:val="left"/>
            </w:pPr>
            <w:r>
              <w:rPr>
                <w:rStyle w:val="VerbatimChar"/>
              </w:rPr>
              <w:t xml:space="preserve">ds2</w:t>
            </w:r>
          </w:p>
        </w:tc>
        <w:tc>
          <w:tcPr/>
          <w:p>
            <w:pPr>
              <w:pStyle w:val="Compact"/>
              <w:jc w:val="right"/>
            </w:pPr>
            <w:r>
              <w:t xml:space="preserve">66</w:t>
            </w:r>
          </w:p>
        </w:tc>
        <w:tc>
          <w:tcPr/>
          <w:p>
            <w:pPr>
              <w:pStyle w:val="Compact"/>
              <w:jc w:val="right"/>
            </w:pPr>
            <w:r>
              <w:t xml:space="preserve">68</w:t>
            </w:r>
          </w:p>
        </w:tc>
        <w:tc>
          <w:tcPr/>
          <w:p>
            <w:pPr>
              <w:pStyle w:val="Compact"/>
              <w:jc w:val="right"/>
            </w:pPr>
            <w:r>
              <w:t xml:space="preserve">66</w:t>
            </w:r>
          </w:p>
        </w:tc>
        <w:tc>
          <w:tcPr/>
          <w:p>
            <w:pPr>
              <w:pStyle w:val="Compact"/>
              <w:jc w:val="right"/>
            </w:pPr>
            <w:r>
              <w:t xml:space="preserve">200</w:t>
            </w:r>
          </w:p>
        </w:tc>
      </w:tr>
      <w:tr>
        <w:tc>
          <w:tcPr/>
          <w:p>
            <w:pPr>
              <w:pStyle w:val="Compact"/>
              <w:jc w:val="left"/>
            </w:pPr>
            <w:r>
              <w:rPr>
                <w:rStyle w:val="VerbatimChar"/>
              </w:rPr>
              <w:t xml:space="preserve">ds3</w:t>
            </w:r>
          </w:p>
        </w:tc>
        <w:tc>
          <w:tcPr/>
          <w:p>
            <w:pPr>
              <w:pStyle w:val="Compact"/>
              <w:jc w:val="right"/>
            </w:pPr>
            <w:r>
              <w:t xml:space="preserve">66</w:t>
            </w:r>
          </w:p>
        </w:tc>
        <w:tc>
          <w:tcPr/>
          <w:p>
            <w:pPr>
              <w:pStyle w:val="Compact"/>
              <w:jc w:val="right"/>
            </w:pPr>
            <w:r>
              <w:t xml:space="preserve">66</w:t>
            </w:r>
          </w:p>
        </w:tc>
        <w:tc>
          <w:tcPr/>
          <w:p>
            <w:pPr>
              <w:pStyle w:val="Compact"/>
              <w:jc w:val="right"/>
            </w:pPr>
            <w:r>
              <w:t xml:space="preserve">68</w:t>
            </w:r>
          </w:p>
        </w:tc>
        <w:tc>
          <w:tcPr/>
          <w:p>
            <w:pPr>
              <w:pStyle w:val="Compact"/>
              <w:jc w:val="right"/>
            </w:pPr>
            <w:r>
              <w:t xml:space="preserve">200</w:t>
            </w:r>
          </w:p>
        </w:tc>
      </w:tr>
    </w:tbl>
    <w:p>
      <w:pPr>
        <w:pStyle w:val="BodyText"/>
      </w:pPr>
      <w:r>
        <w:t xml:space="preserve">The tasks therefore have almost identical class representation.</w:t>
      </w:r>
    </w:p>
    <w:p>
      <w:pPr>
        <w:pStyle w:val="BodyText"/>
      </w:pPr>
      <w:r>
        <w:rPr>
          <w:b/>
          <w:bCs/>
        </w:rPr>
        <w:t xml:space="preserve">Prediction: Should one classifier necessarily perform best on all three tasks?</w:t>
      </w:r>
    </w:p>
    <w:p>
      <w:pPr>
        <w:pStyle w:val="BodyText"/>
      </w:pPr>
      <w:r>
        <w:t xml:space="preserve">No. Dataset size and class counts say very little about the shape of the class regions in feature space. Different learning algorithms impose different assumptions on that geometry.</w:t>
      </w:r>
    </w:p>
    <w:p>
      <w:pPr>
        <w:pStyle w:val="BodyText"/>
      </w:pPr>
      <w:r>
        <w:t xml:space="preserve">For example, a linear classifier can perform very well when the classes are separated by approximately linear boundaries, while a local or nonlinear learner can be preferable when the class regions are curved or fragmented.</w:t>
      </w:r>
    </w:p>
    <w:p>
      <w:pPr>
        <w:pStyle w:val="BlockText"/>
      </w:pPr>
      <w:r>
        <w:rPr>
          <w:b/>
          <w:bCs/>
        </w:rPr>
        <w:t xml:space="preserve">ML insight: balanced classes do not imply an easy problem</w:t>
      </w:r>
    </w:p>
    <w:p>
      <w:pPr>
        <w:pStyle w:val="BlockText"/>
      </w:pPr>
      <w:r>
        <w:t xml:space="preserve">Class balance describes how many examples belong to each class. It does not describe overlap, separation, local density, or boundary shape. Those properties determine how well a model family can represent the task.</w:t>
      </w:r>
    </w:p>
    <w:bookmarkEnd w:id="10"/>
    <w:bookmarkStart w:id="11" w:name="X9ff8d3122270267135f085b7f2863aa32028a77"/>
    <w:p>
      <w:pPr>
        <w:pStyle w:val="Heading1"/>
      </w:pPr>
      <w:r>
        <w:t xml:space="preserve">6.2 Evaluate all classifiers using shared cross-validation folds</w:t>
      </w:r>
    </w:p>
    <w:p>
      <w:pPr>
        <w:pStyle w:val="FirstParagraph"/>
      </w:pPr>
      <w:r>
        <w:t xml:space="preserve">The notebook evaluates seven classifiers:</w:t>
      </w:r>
    </w:p>
    <w:p>
      <w:pPr>
        <w:pStyle w:val="Compact"/>
        <w:numPr>
          <w:ilvl w:val="0"/>
          <w:numId w:val="1001"/>
        </w:numPr>
      </w:pPr>
      <w:r>
        <w:t xml:space="preserve">k-NN;</w:t>
      </w:r>
    </w:p>
    <w:p>
      <w:pPr>
        <w:pStyle w:val="Compact"/>
        <w:numPr>
          <w:ilvl w:val="0"/>
          <w:numId w:val="1001"/>
        </w:numPr>
      </w:pPr>
      <w:r>
        <w:t xml:space="preserve">decision tree;</w:t>
      </w:r>
    </w:p>
    <w:p>
      <w:pPr>
        <w:pStyle w:val="Compact"/>
        <w:numPr>
          <w:ilvl w:val="0"/>
          <w:numId w:val="1001"/>
        </w:numPr>
      </w:pPr>
      <w:r>
        <w:t xml:space="preserve">LDA;</w:t>
      </w:r>
    </w:p>
    <w:p>
      <w:pPr>
        <w:pStyle w:val="Compact"/>
        <w:numPr>
          <w:ilvl w:val="0"/>
          <w:numId w:val="1001"/>
        </w:numPr>
      </w:pPr>
      <w:r>
        <w:t xml:space="preserve">Gaussian naive Bayes;</w:t>
      </w:r>
    </w:p>
    <w:p>
      <w:pPr>
        <w:pStyle w:val="Compact"/>
        <w:numPr>
          <w:ilvl w:val="0"/>
          <w:numId w:val="1001"/>
        </w:numPr>
      </w:pPr>
      <w:r>
        <w:t xml:space="preserve">linear SVM;</w:t>
      </w:r>
    </w:p>
    <w:p>
      <w:pPr>
        <w:pStyle w:val="Compact"/>
        <w:numPr>
          <w:ilvl w:val="0"/>
          <w:numId w:val="1001"/>
        </w:numPr>
      </w:pPr>
      <w:r>
        <w:t xml:space="preserve">polynomial SVM;</w:t>
      </w:r>
    </w:p>
    <w:p>
      <w:pPr>
        <w:pStyle w:val="Compact"/>
        <w:numPr>
          <w:ilvl w:val="0"/>
          <w:numId w:val="1001"/>
        </w:numPr>
      </w:pPr>
      <w:r>
        <w:t xml:space="preserve">RBF SVM.</w:t>
      </w:r>
    </w:p>
    <w:p>
      <w:pPr>
        <w:pStyle w:val="FirstParagraph"/>
      </w:pPr>
      <w:r>
        <w:t xml:space="preserve">The cross-validation procedure is:</w:t>
      </w:r>
    </w:p>
    <w:p>
      <w:pPr>
        <w:pStyle w:val="SourceCode"/>
      </w:pPr>
      <w:r>
        <w:rPr>
          <w:rStyle w:val="NormalTok"/>
        </w:rPr>
        <w:t xml:space="preserve">cv </w:t>
      </w:r>
      <w:r>
        <w:rPr>
          <w:rStyle w:val="OperatorTok"/>
        </w:rPr>
        <w:t xml:space="preserve">=</w:t>
      </w:r>
      <w:r>
        <w:rPr>
          <w:rStyle w:val="NormalTok"/>
        </w:rPr>
        <w:t xml:space="preserve"> StratifiedKFold(n_splits</w:t>
      </w:r>
      <w:r>
        <w:rPr>
          <w:rStyle w:val="OperatorTok"/>
        </w:rPr>
        <w:t xml:space="preserve">=</w:t>
      </w:r>
      <w:r>
        <w:rPr>
          <w:rStyle w:val="DecValTok"/>
        </w:rPr>
        <w:t xml:space="preserve">10</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0</w:t>
      </w:r>
      <w:r>
        <w:rPr>
          <w:rStyle w:val="NormalTok"/>
        </w:rPr>
        <w:t xml:space="preserve">)</w:t>
      </w:r>
    </w:p>
    <w:p>
      <w:pPr>
        <w:pStyle w:val="FirstParagraph"/>
      </w:pPr>
      <w:r>
        <w:t xml:space="preserve">Scaling for k-NN and SVMs is included inside a pipeline. This is essential because the scaler must be learned only from the training portion of each fold.</w:t>
      </w:r>
    </w:p>
    <w:p>
      <w:pPr>
        <w:pStyle w:val="BodyText"/>
      </w:pPr>
      <w:r>
        <w:t xml:space="preserve">For</w:t>
      </w:r>
      <w:r>
        <w:t xml:space="preserve"> </w:t>
      </w:r>
      <w:r>
        <w:rPr>
          <w:rStyle w:val="VerbatimChar"/>
        </w:rPr>
        <w:t xml:space="preserve">ds2</w:t>
      </w:r>
      <w:r>
        <w:t xml:space="preserve">, the fold-wise accuracies are: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w:r>
              <w:t xml:space="preserve">Fold</w:t>
            </w:r>
          </w:p>
        </w:tc>
        <w:tc>
          <w:tcPr/>
          <w:p>
            <w:pPr>
              <w:pStyle w:val="Compact"/>
              <w:jc w:val="right"/>
            </w:pPr>
            <w:r>
              <w:t xml:space="preserve">k-NN</w:t>
            </w:r>
          </w:p>
        </w:tc>
        <w:tc>
          <w:tcPr/>
          <w:p>
            <w:pPr>
              <w:pStyle w:val="Compact"/>
              <w:jc w:val="right"/>
            </w:pPr>
            <w:r>
              <w:t xml:space="preserve">Tree</w:t>
            </w:r>
          </w:p>
        </w:tc>
        <w:tc>
          <w:tcPr/>
          <w:p>
            <w:pPr>
              <w:pStyle w:val="Compact"/>
              <w:jc w:val="right"/>
            </w:pPr>
            <w:r>
              <w:t xml:space="preserve">LDA</w:t>
            </w:r>
          </w:p>
        </w:tc>
        <w:tc>
          <w:tcPr/>
          <w:p>
            <w:pPr>
              <w:pStyle w:val="Compact"/>
              <w:jc w:val="right"/>
            </w:pPr>
            <w:r>
              <w:t xml:space="preserve">Naive Bayes</w:t>
            </w:r>
          </w:p>
        </w:tc>
        <w:tc>
          <w:tcPr/>
          <w:p>
            <w:pPr>
              <w:pStyle w:val="Compact"/>
              <w:jc w:val="right"/>
            </w:pPr>
            <w:r>
              <w:t xml:space="preserve">SVM linear</w:t>
            </w:r>
          </w:p>
        </w:tc>
        <w:tc>
          <w:tcPr/>
          <w:p>
            <w:pPr>
              <w:pStyle w:val="Compact"/>
              <w:jc w:val="right"/>
            </w:pPr>
            <w:r>
              <w:t xml:space="preserve">SVM poly</w:t>
            </w:r>
          </w:p>
        </w:tc>
        <w:tc>
          <w:tcPr/>
          <w:p>
            <w:pPr>
              <w:pStyle w:val="Compact"/>
              <w:jc w:val="right"/>
            </w:pPr>
            <w:r>
              <w:t xml:space="preserve">SVM RBF</w:t>
            </w:r>
          </w:p>
        </w:tc>
      </w:tr>
      <w:tr>
        <w:tc>
          <w:tcPr/>
          <w:p>
            <w:pPr>
              <w:pStyle w:val="Compact"/>
              <w:jc w:val="right"/>
            </w:pPr>
            <w:r>
              <w:t xml:space="preserve">1</w:t>
            </w:r>
          </w:p>
        </w:tc>
        <w:tc>
          <w:tcPr/>
          <w:p>
            <w:pPr>
              <w:pStyle w:val="Compact"/>
              <w:jc w:val="right"/>
            </w:pPr>
            <w:r>
              <w:t xml:space="preserve">0.85</w:t>
            </w:r>
          </w:p>
        </w:tc>
        <w:tc>
          <w:tcPr/>
          <w:p>
            <w:pPr>
              <w:pStyle w:val="Compact"/>
              <w:jc w:val="right"/>
            </w:pPr>
            <w:r>
              <w:t xml:space="preserve">0.90</w:t>
            </w:r>
          </w:p>
        </w:tc>
        <w:tc>
          <w:tcPr/>
          <w:p>
            <w:pPr>
              <w:pStyle w:val="Compact"/>
              <w:jc w:val="right"/>
            </w:pPr>
            <w:r>
              <w:t xml:space="preserve">0.90</w:t>
            </w:r>
          </w:p>
        </w:tc>
        <w:tc>
          <w:tcPr/>
          <w:p>
            <w:pPr>
              <w:pStyle w:val="Compact"/>
              <w:jc w:val="right"/>
            </w:pPr>
            <w:r>
              <w:t xml:space="preserve">0.90</w:t>
            </w:r>
          </w:p>
        </w:tc>
        <w:tc>
          <w:tcPr/>
          <w:p>
            <w:pPr>
              <w:pStyle w:val="Compact"/>
              <w:jc w:val="right"/>
            </w:pPr>
            <w:r>
              <w:t xml:space="preserve">0.90</w:t>
            </w:r>
          </w:p>
        </w:tc>
        <w:tc>
          <w:tcPr/>
          <w:p>
            <w:pPr>
              <w:pStyle w:val="Compact"/>
              <w:jc w:val="right"/>
            </w:pPr>
            <w:r>
              <w:t xml:space="preserve">0.90</w:t>
            </w:r>
          </w:p>
        </w:tc>
        <w:tc>
          <w:tcPr/>
          <w:p>
            <w:pPr>
              <w:pStyle w:val="Compact"/>
              <w:jc w:val="right"/>
            </w:pPr>
            <w:r>
              <w:t xml:space="preserve">0.90</w:t>
            </w:r>
          </w:p>
        </w:tc>
      </w:tr>
      <w:tr>
        <w:tc>
          <w:tcPr/>
          <w:p>
            <w:pPr>
              <w:pStyle w:val="Compact"/>
              <w:jc w:val="right"/>
            </w:pPr>
            <w:r>
              <w:t xml:space="preserve">2</w:t>
            </w:r>
          </w:p>
        </w:tc>
        <w:tc>
          <w:tcPr/>
          <w:p>
            <w:pPr>
              <w:pStyle w:val="Compact"/>
              <w:jc w:val="right"/>
            </w:pPr>
            <w:r>
              <w:t xml:space="preserve">0.75</w:t>
            </w:r>
          </w:p>
        </w:tc>
        <w:tc>
          <w:tcPr/>
          <w:p>
            <w:pPr>
              <w:pStyle w:val="Compact"/>
              <w:jc w:val="right"/>
            </w:pPr>
            <w:r>
              <w:t xml:space="preserve">0.65</w:t>
            </w:r>
          </w:p>
        </w:tc>
        <w:tc>
          <w:tcPr/>
          <w:p>
            <w:pPr>
              <w:pStyle w:val="Compact"/>
              <w:jc w:val="right"/>
            </w:pPr>
            <w:r>
              <w:t xml:space="preserve">0.75</w:t>
            </w:r>
          </w:p>
        </w:tc>
        <w:tc>
          <w:tcPr/>
          <w:p>
            <w:pPr>
              <w:pStyle w:val="Compact"/>
              <w:jc w:val="right"/>
            </w:pPr>
            <w:r>
              <w:t xml:space="preserve">0.75</w:t>
            </w:r>
          </w:p>
        </w:tc>
        <w:tc>
          <w:tcPr/>
          <w:p>
            <w:pPr>
              <w:pStyle w:val="Compact"/>
              <w:jc w:val="right"/>
            </w:pPr>
            <w:r>
              <w:t xml:space="preserve">0.80</w:t>
            </w:r>
          </w:p>
        </w:tc>
        <w:tc>
          <w:tcPr/>
          <w:p>
            <w:pPr>
              <w:pStyle w:val="Compact"/>
              <w:jc w:val="right"/>
            </w:pPr>
            <w:r>
              <w:t xml:space="preserve">0.60</w:t>
            </w:r>
          </w:p>
        </w:tc>
        <w:tc>
          <w:tcPr/>
          <w:p>
            <w:pPr>
              <w:pStyle w:val="Compact"/>
              <w:jc w:val="right"/>
            </w:pPr>
            <w:r>
              <w:t xml:space="preserve">0.75</w:t>
            </w:r>
          </w:p>
        </w:tc>
      </w:tr>
      <w:tr>
        <w:tc>
          <w:tcPr/>
          <w:p>
            <w:pPr>
              <w:pStyle w:val="Compact"/>
              <w:jc w:val="right"/>
            </w:pPr>
            <w:r>
              <w:t xml:space="preserve">3</w:t>
            </w:r>
          </w:p>
        </w:tc>
        <w:tc>
          <w:tcPr/>
          <w:p>
            <w:pPr>
              <w:pStyle w:val="Compact"/>
              <w:jc w:val="right"/>
            </w:pPr>
            <w:r>
              <w:t xml:space="preserve">0.90</w:t>
            </w:r>
          </w:p>
        </w:tc>
        <w:tc>
          <w:tcPr/>
          <w:p>
            <w:pPr>
              <w:pStyle w:val="Compact"/>
              <w:jc w:val="right"/>
            </w:pPr>
            <w:r>
              <w:t xml:space="preserve">0.90</w:t>
            </w:r>
          </w:p>
        </w:tc>
        <w:tc>
          <w:tcPr/>
          <w:p>
            <w:pPr>
              <w:pStyle w:val="Compact"/>
              <w:jc w:val="right"/>
            </w:pPr>
            <w:r>
              <w:t xml:space="preserve">0.70</w:t>
            </w:r>
          </w:p>
        </w:tc>
        <w:tc>
          <w:tcPr/>
          <w:p>
            <w:pPr>
              <w:pStyle w:val="Compact"/>
              <w:jc w:val="right"/>
            </w:pPr>
            <w:r>
              <w:t xml:space="preserve">0.85</w:t>
            </w:r>
          </w:p>
        </w:tc>
        <w:tc>
          <w:tcPr/>
          <w:p>
            <w:pPr>
              <w:pStyle w:val="Compact"/>
              <w:jc w:val="right"/>
            </w:pPr>
            <w:r>
              <w:t xml:space="preserve">0.85</w:t>
            </w:r>
          </w:p>
        </w:tc>
        <w:tc>
          <w:tcPr/>
          <w:p>
            <w:pPr>
              <w:pStyle w:val="Compact"/>
              <w:jc w:val="right"/>
            </w:pPr>
            <w:r>
              <w:t xml:space="preserve">0.75</w:t>
            </w:r>
          </w:p>
        </w:tc>
        <w:tc>
          <w:tcPr/>
          <w:p>
            <w:pPr>
              <w:pStyle w:val="Compact"/>
              <w:jc w:val="right"/>
            </w:pPr>
            <w:r>
              <w:t xml:space="preserve">0.85</w:t>
            </w:r>
          </w:p>
        </w:tc>
      </w:tr>
      <w:tr>
        <w:tc>
          <w:tcPr/>
          <w:p>
            <w:pPr>
              <w:pStyle w:val="Compact"/>
              <w:jc w:val="right"/>
            </w:pPr>
            <w:r>
              <w:t xml:space="preserve">4</w:t>
            </w:r>
          </w:p>
        </w:tc>
        <w:tc>
          <w:tcPr/>
          <w:p>
            <w:pPr>
              <w:pStyle w:val="Compact"/>
              <w:jc w:val="right"/>
            </w:pPr>
            <w:r>
              <w:t xml:space="preserve">0.80</w:t>
            </w:r>
          </w:p>
        </w:tc>
        <w:tc>
          <w:tcPr/>
          <w:p>
            <w:pPr>
              <w:pStyle w:val="Compact"/>
              <w:jc w:val="right"/>
            </w:pPr>
            <w:r>
              <w:t xml:space="preserve">0.85</w:t>
            </w:r>
          </w:p>
        </w:tc>
        <w:tc>
          <w:tcPr/>
          <w:p>
            <w:pPr>
              <w:pStyle w:val="Compact"/>
              <w:jc w:val="right"/>
            </w:pPr>
            <w:r>
              <w:t xml:space="preserve">0.80</w:t>
            </w:r>
          </w:p>
        </w:tc>
        <w:tc>
          <w:tcPr/>
          <w:p>
            <w:pPr>
              <w:pStyle w:val="Compact"/>
              <w:jc w:val="right"/>
            </w:pPr>
            <w:r>
              <w:t xml:space="preserve">0.70</w:t>
            </w:r>
          </w:p>
        </w:tc>
        <w:tc>
          <w:tcPr/>
          <w:p>
            <w:pPr>
              <w:pStyle w:val="Compact"/>
              <w:jc w:val="right"/>
            </w:pPr>
            <w:r>
              <w:t xml:space="preserve">0.80</w:t>
            </w:r>
          </w:p>
        </w:tc>
        <w:tc>
          <w:tcPr/>
          <w:p>
            <w:pPr>
              <w:pStyle w:val="Compact"/>
              <w:jc w:val="right"/>
            </w:pPr>
            <w:r>
              <w:t xml:space="preserve">0.70</w:t>
            </w:r>
          </w:p>
        </w:tc>
        <w:tc>
          <w:tcPr/>
          <w:p>
            <w:pPr>
              <w:pStyle w:val="Compact"/>
              <w:jc w:val="right"/>
            </w:pPr>
            <w:r>
              <w:t xml:space="preserve">0.75</w:t>
            </w:r>
          </w:p>
        </w:tc>
      </w:tr>
      <w:tr>
        <w:tc>
          <w:tcPr/>
          <w:p>
            <w:pPr>
              <w:pStyle w:val="Compact"/>
              <w:jc w:val="right"/>
            </w:pPr>
            <w:r>
              <w:t xml:space="preserve">5</w:t>
            </w:r>
          </w:p>
        </w:tc>
        <w:tc>
          <w:tcPr/>
          <w:p>
            <w:pPr>
              <w:pStyle w:val="Compact"/>
              <w:jc w:val="right"/>
            </w:pPr>
            <w:r>
              <w:t xml:space="preserve">0.90</w:t>
            </w:r>
          </w:p>
        </w:tc>
        <w:tc>
          <w:tcPr/>
          <w:p>
            <w:pPr>
              <w:pStyle w:val="Compact"/>
              <w:jc w:val="right"/>
            </w:pPr>
            <w:r>
              <w:t xml:space="preserve">0.80</w:t>
            </w:r>
          </w:p>
        </w:tc>
        <w:tc>
          <w:tcPr/>
          <w:p>
            <w:pPr>
              <w:pStyle w:val="Compact"/>
              <w:jc w:val="right"/>
            </w:pPr>
            <w:r>
              <w:t xml:space="preserve">0.95</w:t>
            </w:r>
          </w:p>
        </w:tc>
        <w:tc>
          <w:tcPr/>
          <w:p>
            <w:pPr>
              <w:pStyle w:val="Compact"/>
              <w:jc w:val="right"/>
            </w:pPr>
            <w:r>
              <w:t xml:space="preserve">0.90</w:t>
            </w:r>
          </w:p>
        </w:tc>
        <w:tc>
          <w:tcPr/>
          <w:p>
            <w:pPr>
              <w:pStyle w:val="Compact"/>
              <w:jc w:val="right"/>
            </w:pPr>
            <w:r>
              <w:t xml:space="preserve">0.95</w:t>
            </w:r>
          </w:p>
        </w:tc>
        <w:tc>
          <w:tcPr/>
          <w:p>
            <w:pPr>
              <w:pStyle w:val="Compact"/>
              <w:jc w:val="right"/>
            </w:pPr>
            <w:r>
              <w:t xml:space="preserve">0.90</w:t>
            </w:r>
          </w:p>
        </w:tc>
        <w:tc>
          <w:tcPr/>
          <w:p>
            <w:pPr>
              <w:pStyle w:val="Compact"/>
              <w:jc w:val="right"/>
            </w:pPr>
            <w:r>
              <w:t xml:space="preserve">0.95</w:t>
            </w:r>
          </w:p>
        </w:tc>
      </w:tr>
      <w:tr>
        <w:tc>
          <w:tcPr/>
          <w:p>
            <w:pPr>
              <w:pStyle w:val="Compact"/>
              <w:jc w:val="right"/>
            </w:pPr>
            <w:r>
              <w:t xml:space="preserve">6</w:t>
            </w:r>
          </w:p>
        </w:tc>
        <w:tc>
          <w:tcPr/>
          <w:p>
            <w:pPr>
              <w:pStyle w:val="Compact"/>
              <w:jc w:val="right"/>
            </w:pPr>
            <w:r>
              <w:t xml:space="preserve">0.90</w:t>
            </w:r>
          </w:p>
        </w:tc>
        <w:tc>
          <w:tcPr/>
          <w:p>
            <w:pPr>
              <w:pStyle w:val="Compact"/>
              <w:jc w:val="right"/>
            </w:pPr>
            <w:r>
              <w:t xml:space="preserve">0.85</w:t>
            </w:r>
          </w:p>
        </w:tc>
        <w:tc>
          <w:tcPr/>
          <w:p>
            <w:pPr>
              <w:pStyle w:val="Compact"/>
              <w:jc w:val="right"/>
            </w:pPr>
            <w:r>
              <w:t xml:space="preserve">0.90</w:t>
            </w:r>
          </w:p>
        </w:tc>
        <w:tc>
          <w:tcPr/>
          <w:p>
            <w:pPr>
              <w:pStyle w:val="Compact"/>
              <w:jc w:val="right"/>
            </w:pPr>
            <w:r>
              <w:t xml:space="preserve">0.95</w:t>
            </w:r>
          </w:p>
        </w:tc>
        <w:tc>
          <w:tcPr/>
          <w:p>
            <w:pPr>
              <w:pStyle w:val="Compact"/>
              <w:jc w:val="right"/>
            </w:pPr>
            <w:r>
              <w:t xml:space="preserve">0.90</w:t>
            </w:r>
          </w:p>
        </w:tc>
        <w:tc>
          <w:tcPr/>
          <w:p>
            <w:pPr>
              <w:pStyle w:val="Compact"/>
              <w:jc w:val="right"/>
            </w:pPr>
            <w:r>
              <w:t xml:space="preserve">0.80</w:t>
            </w:r>
          </w:p>
        </w:tc>
        <w:tc>
          <w:tcPr/>
          <w:p>
            <w:pPr>
              <w:pStyle w:val="Compact"/>
              <w:jc w:val="right"/>
            </w:pPr>
            <w:r>
              <w:t xml:space="preserve">0.90</w:t>
            </w:r>
          </w:p>
        </w:tc>
      </w:tr>
      <w:tr>
        <w:tc>
          <w:tcPr/>
          <w:p>
            <w:pPr>
              <w:pStyle w:val="Compact"/>
              <w:jc w:val="right"/>
            </w:pPr>
            <w:r>
              <w:t xml:space="preserve">7</w:t>
            </w:r>
          </w:p>
        </w:tc>
        <w:tc>
          <w:tcPr/>
          <w:p>
            <w:pPr>
              <w:pStyle w:val="Compact"/>
              <w:jc w:val="right"/>
            </w:pPr>
            <w:r>
              <w:t xml:space="preserve">0.95</w:t>
            </w:r>
          </w:p>
        </w:tc>
        <w:tc>
          <w:tcPr/>
          <w:p>
            <w:pPr>
              <w:pStyle w:val="Compact"/>
              <w:jc w:val="right"/>
            </w:pPr>
            <w:r>
              <w:t xml:space="preserve">0.80</w:t>
            </w:r>
          </w:p>
        </w:tc>
        <w:tc>
          <w:tcPr/>
          <w:p>
            <w:pPr>
              <w:pStyle w:val="Compact"/>
              <w:jc w:val="right"/>
            </w:pPr>
            <w:r>
              <w:t xml:space="preserve">0.85</w:t>
            </w:r>
          </w:p>
        </w:tc>
        <w:tc>
          <w:tcPr/>
          <w:p>
            <w:pPr>
              <w:pStyle w:val="Compact"/>
              <w:jc w:val="right"/>
            </w:pPr>
            <w:r>
              <w:t xml:space="preserve">0.95</w:t>
            </w:r>
          </w:p>
        </w:tc>
        <w:tc>
          <w:tcPr/>
          <w:p>
            <w:pPr>
              <w:pStyle w:val="Compact"/>
              <w:jc w:val="right"/>
            </w:pPr>
            <w:r>
              <w:t xml:space="preserve">0.95</w:t>
            </w:r>
          </w:p>
        </w:tc>
        <w:tc>
          <w:tcPr/>
          <w:p>
            <w:pPr>
              <w:pStyle w:val="Compact"/>
              <w:jc w:val="right"/>
            </w:pPr>
            <w:r>
              <w:t xml:space="preserve">0.90</w:t>
            </w:r>
          </w:p>
        </w:tc>
        <w:tc>
          <w:tcPr/>
          <w:p>
            <w:pPr>
              <w:pStyle w:val="Compact"/>
              <w:jc w:val="right"/>
            </w:pPr>
            <w:r>
              <w:t xml:space="preserve">0.95</w:t>
            </w:r>
          </w:p>
        </w:tc>
      </w:tr>
      <w:tr>
        <w:tc>
          <w:tcPr/>
          <w:p>
            <w:pPr>
              <w:pStyle w:val="Compact"/>
              <w:jc w:val="right"/>
            </w:pPr>
            <w:r>
              <w:t xml:space="preserve">8</w:t>
            </w:r>
          </w:p>
        </w:tc>
        <w:tc>
          <w:tcPr/>
          <w:p>
            <w:pPr>
              <w:pStyle w:val="Compact"/>
              <w:jc w:val="right"/>
            </w:pPr>
            <w:r>
              <w:t xml:space="preserve">0.90</w:t>
            </w:r>
          </w:p>
        </w:tc>
        <w:tc>
          <w:tcPr/>
          <w:p>
            <w:pPr>
              <w:pStyle w:val="Compact"/>
              <w:jc w:val="right"/>
            </w:pPr>
            <w:r>
              <w:t xml:space="preserve">0.95</w:t>
            </w:r>
          </w:p>
        </w:tc>
        <w:tc>
          <w:tcPr/>
          <w:p>
            <w:pPr>
              <w:pStyle w:val="Compact"/>
              <w:jc w:val="right"/>
            </w:pPr>
            <w:r>
              <w:t xml:space="preserve">0.85</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0.85</w:t>
            </w:r>
          </w:p>
        </w:tc>
        <w:tc>
          <w:tcPr/>
          <w:p>
            <w:pPr>
              <w:pStyle w:val="Compact"/>
              <w:jc w:val="right"/>
            </w:pPr>
            <w:r>
              <w:t xml:space="preserve">0.80</w:t>
            </w:r>
          </w:p>
        </w:tc>
      </w:tr>
      <w:tr>
        <w:tc>
          <w:tcPr/>
          <w:p>
            <w:pPr>
              <w:pStyle w:val="Compact"/>
              <w:jc w:val="right"/>
            </w:pPr>
            <w:r>
              <w:t xml:space="preserve">9</w:t>
            </w:r>
          </w:p>
        </w:tc>
        <w:tc>
          <w:tcPr/>
          <w:p>
            <w:pPr>
              <w:pStyle w:val="Compact"/>
              <w:jc w:val="right"/>
            </w:pPr>
            <w:r>
              <w:t xml:space="preserve">0.80</w:t>
            </w:r>
          </w:p>
        </w:tc>
        <w:tc>
          <w:tcPr/>
          <w:p>
            <w:pPr>
              <w:pStyle w:val="Compact"/>
              <w:jc w:val="right"/>
            </w:pPr>
            <w:r>
              <w:t xml:space="preserve">0.75</w:t>
            </w:r>
          </w:p>
        </w:tc>
        <w:tc>
          <w:tcPr/>
          <w:p>
            <w:pPr>
              <w:pStyle w:val="Compact"/>
              <w:jc w:val="right"/>
            </w:pPr>
            <w:r>
              <w:t xml:space="preserve">0.90</w:t>
            </w:r>
          </w:p>
        </w:tc>
        <w:tc>
          <w:tcPr/>
          <w:p>
            <w:pPr>
              <w:pStyle w:val="Compact"/>
              <w:jc w:val="right"/>
            </w:pPr>
            <w:r>
              <w:t xml:space="preserve">0.85</w:t>
            </w:r>
          </w:p>
        </w:tc>
        <w:tc>
          <w:tcPr/>
          <w:p>
            <w:pPr>
              <w:pStyle w:val="Compact"/>
              <w:jc w:val="right"/>
            </w:pPr>
            <w:r>
              <w:t xml:space="preserve">0.90</w:t>
            </w:r>
          </w:p>
        </w:tc>
        <w:tc>
          <w:tcPr/>
          <w:p>
            <w:pPr>
              <w:pStyle w:val="Compact"/>
              <w:jc w:val="right"/>
            </w:pPr>
            <w:r>
              <w:t xml:space="preserve">0.85</w:t>
            </w:r>
          </w:p>
        </w:tc>
        <w:tc>
          <w:tcPr/>
          <w:p>
            <w:pPr>
              <w:pStyle w:val="Compact"/>
              <w:jc w:val="right"/>
            </w:pPr>
            <w:r>
              <w:t xml:space="preserve">0.90</w:t>
            </w:r>
          </w:p>
        </w:tc>
      </w:tr>
      <w:tr>
        <w:tc>
          <w:tcPr/>
          <w:p>
            <w:pPr>
              <w:pStyle w:val="Compact"/>
              <w:jc w:val="right"/>
            </w:pPr>
            <w:r>
              <w:t xml:space="preserve">10</w:t>
            </w:r>
          </w:p>
        </w:tc>
        <w:tc>
          <w:tcPr/>
          <w:p>
            <w:pPr>
              <w:pStyle w:val="Compact"/>
              <w:jc w:val="right"/>
            </w:pPr>
            <w:r>
              <w:t xml:space="preserve">0.90</w:t>
            </w:r>
          </w:p>
        </w:tc>
        <w:tc>
          <w:tcPr/>
          <w:p>
            <w:pPr>
              <w:pStyle w:val="Compact"/>
              <w:jc w:val="right"/>
            </w:pPr>
            <w:r>
              <w:t xml:space="preserve">0.85</w:t>
            </w:r>
          </w:p>
        </w:tc>
        <w:tc>
          <w:tcPr/>
          <w:p>
            <w:pPr>
              <w:pStyle w:val="Compact"/>
              <w:jc w:val="right"/>
            </w:pPr>
            <w:r>
              <w:t xml:space="preserve">0.85</w:t>
            </w:r>
          </w:p>
        </w:tc>
        <w:tc>
          <w:tcPr/>
          <w:p>
            <w:pPr>
              <w:pStyle w:val="Compact"/>
              <w:jc w:val="right"/>
            </w:pPr>
            <w:r>
              <w:t xml:space="preserve">0.85</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0.85</w:t>
            </w:r>
          </w:p>
        </w:tc>
      </w:tr>
    </w:tbl>
    <w:p>
      <w:pPr>
        <w:pStyle w:val="BodyText"/>
      </w:pPr>
      <w:r>
        <w:t xml:space="preserve">One row contains the accuracies obtained by all seven classifiers on the</w:t>
      </w:r>
      <w:r>
        <w:t xml:space="preserve"> </w:t>
      </w:r>
      <w:r>
        <w:rPr>
          <w:b/>
          <w:bCs/>
        </w:rPr>
        <w:t xml:space="preserve">same held-out fold</w:t>
      </w:r>
      <w:r>
        <w:t xml:space="preserve">. One column contains the ten held-out scores obtained by one classifier.</w:t>
      </w:r>
    </w:p>
    <w:p>
      <w:pPr>
        <w:pStyle w:val="BodyText"/>
      </w:pPr>
      <w:r>
        <w:t xml:space="preserve">Using the same folds makes the comparison more direct because the algorithms are evaluated on matching held-out observations.</w:t>
      </w:r>
    </w:p>
    <w:p>
      <w:pPr>
        <w:pStyle w:val="BodyText"/>
      </w:pPr>
      <w:r>
        <w:rPr>
          <w:b/>
          <w:bCs/>
        </w:rPr>
        <w:t xml:space="preserve">Why fit scaling inside each training fold?</w:t>
      </w:r>
    </w:p>
    <w:p>
      <w:pPr>
        <w:pStyle w:val="BodyText"/>
      </w:pPr>
      <w:r>
        <w:t xml:space="preserve">Suppose the mean and standard deviation used by</w:t>
      </w:r>
      <w:r>
        <w:t xml:space="preserve"> </w:t>
      </w:r>
      <w:r>
        <w:rPr>
          <w:rStyle w:val="VerbatimChar"/>
        </w:rPr>
        <w:t xml:space="preserve">StandardScaler</w:t>
      </w:r>
      <w:r>
        <w:t xml:space="preserve"> </w:t>
      </w:r>
      <w:r>
        <w:t xml:space="preserve">were estimated from all 200 observations before cross-validation. Information from the future test fold would then influence the transformation applied to the training data. The pipeline avoids this leakage by fitting the scaler on each training fold and applying that fitted transformation to its corresponding held-out fold.</w:t>
      </w:r>
    </w:p>
    <w:bookmarkEnd w:id="11"/>
    <w:bookmarkStart w:id="12" w:name="summarise-performance-and-variability"/>
    <w:p>
      <w:pPr>
        <w:pStyle w:val="Heading1"/>
      </w:pPr>
      <w:r>
        <w:t xml:space="preserve">6.3 Summarise performance and variability</w:t>
      </w:r>
    </w:p>
    <w:p>
      <w:pPr>
        <w:pStyle w:val="FirstParagraph"/>
      </w:pPr>
      <w:r>
        <w:t xml:space="preserve">For classifier</w:t>
      </w:r>
      <w:r>
        <w:t xml:space="preserve"> </w:t>
      </w:r>
      <m:oMath>
        <m:r>
          <m:t>j</m:t>
        </m:r>
      </m:oMath>
      <w:r>
        <w:t xml:space="preserve"> </w:t>
      </w:r>
      <w:r>
        <w:t xml:space="preserve">with fold scores</w:t>
      </w:r>
      <w:r>
        <w:t xml:space="preserve"> </w:t>
      </w:r>
      <m:oMath>
        <m:sSub>
          <m:e>
            <m:r>
              <m:t>a</m:t>
            </m:r>
          </m:e>
          <m:sub>
            <m:r>
              <m:t>1</m:t>
            </m:r>
            <m:r>
              <m:t>j</m:t>
            </m:r>
          </m:sub>
        </m:sSub>
        <m:r>
          <m:rPr>
            <m:sty m:val="p"/>
          </m:rPr>
          <m:t>,</m:t>
        </m:r>
        <m:r>
          <m:rPr>
            <m:sty m:val="p"/>
          </m:rPr>
          <m:t>…</m:t>
        </m:r>
        <m:r>
          <m:rPr>
            <m:sty m:val="p"/>
          </m:rPr>
          <m:t>,</m:t>
        </m:r>
        <m:sSub>
          <m:e>
            <m:r>
              <m:t>a</m:t>
            </m:r>
          </m:e>
          <m:sub>
            <m:r>
              <m:t>10</m:t>
            </m:r>
            <m:r>
              <m:t>j</m:t>
            </m:r>
          </m:sub>
        </m:sSub>
      </m:oMath>
      <w:r>
        <w:t xml:space="preserve">, compute</w:t>
      </w:r>
    </w:p>
    <w:p>
      <w:pPr>
        <w:pStyle w:val="BodyText"/>
      </w:pPr>
      <m:oMathPara>
        <m:oMathParaPr>
          <m:jc m:val="center"/>
        </m:oMathParaPr>
        <m:oMath>
          <m:sSub>
            <m:e>
              <m:acc>
                <m:accPr>
                  <m:chr m:val="‾"/>
                </m:accPr>
                <m:e>
                  <m:r>
                    <m:t>a</m:t>
                  </m:r>
                </m:e>
              </m:acc>
            </m:e>
            <m:sub>
              <m:r>
                <m:t>j</m:t>
              </m:r>
            </m:sub>
          </m:sSub>
          <m:r>
            <m:rPr>
              <m:sty m:val="p"/>
            </m:rPr>
            <m:t>=</m:t>
          </m:r>
          <m:f>
            <m:fPr>
              <m:type m:val="bar"/>
            </m:fPr>
            <m:num>
              <m:r>
                <m:t>1</m:t>
              </m:r>
            </m:num>
            <m:den>
              <m:r>
                <m:t>10</m:t>
              </m:r>
            </m:den>
          </m:f>
          <m:nary>
            <m:naryPr>
              <m:chr m:val="∑"/>
              <m:limLoc m:val="undOvr"/>
              <m:subHide m:val="off"/>
              <m:supHide m:val="off"/>
            </m:naryPr>
            <m:sub>
              <m:r>
                <m:t>i</m:t>
              </m:r>
              <m:r>
                <m:rPr>
                  <m:sty m:val="p"/>
                </m:rPr>
                <m:t>=</m:t>
              </m:r>
              <m:r>
                <m:t>1</m:t>
              </m:r>
            </m:sub>
            <m:sup>
              <m:r>
                <m:t>10</m:t>
              </m:r>
            </m:sup>
            <m:e>
              <m:sSub>
                <m:e>
                  <m:r>
                    <m:t>a</m:t>
                  </m:r>
                </m:e>
                <m:sub>
                  <m:r>
                    <m:t>i</m:t>
                  </m:r>
                  <m:r>
                    <m:t>j</m:t>
                  </m:r>
                </m:sub>
              </m:sSub>
            </m:e>
          </m:nary>
        </m:oMath>
      </m:oMathPara>
    </w:p>
    <w:p>
      <w:pPr>
        <w:pStyle w:val="FirstParagraph"/>
      </w:pPr>
      <w:r>
        <w:t xml:space="preserve">and the sample standard deviation</w:t>
      </w:r>
    </w:p>
    <w:p>
      <w:pPr>
        <w:pStyle w:val="BodyText"/>
      </w:pPr>
      <m:oMathPara>
        <m:oMathParaPr>
          <m:jc m:val="center"/>
        </m:oMathParaPr>
        <m:oMath>
          <m:sSub>
            <m:e>
              <m:r>
                <m:t>s</m:t>
              </m:r>
            </m:e>
            <m:sub>
              <m:r>
                <m:t>j</m:t>
              </m:r>
            </m:sub>
          </m:sSub>
          <m:r>
            <m:rPr>
              <m:sty m:val="p"/>
            </m:rPr>
            <m:t>=</m:t>
          </m:r>
          <m:rad>
            <m:radPr>
              <m:degHide m:val="on"/>
            </m:radPr>
            <m:deg/>
            <m:e>
              <m:f>
                <m:fPr>
                  <m:type m:val="bar"/>
                </m:fPr>
                <m:num>
                  <m:r>
                    <m:t>1</m:t>
                  </m:r>
                </m:num>
                <m:den>
                  <m:r>
                    <m:t>9</m:t>
                  </m:r>
                </m:den>
              </m:f>
              <m:nary>
                <m:naryPr>
                  <m:chr m:val="∑"/>
                  <m:limLoc m:val="undOvr"/>
                  <m:subHide m:val="off"/>
                  <m:supHide m:val="off"/>
                </m:naryPr>
                <m:sub>
                  <m:r>
                    <m:t>i</m:t>
                  </m:r>
                  <m:r>
                    <m:rPr>
                      <m:sty m:val="p"/>
                    </m:rPr>
                    <m:t>=</m:t>
                  </m:r>
                  <m:r>
                    <m:t>1</m:t>
                  </m:r>
                </m:sub>
                <m:sup>
                  <m:r>
                    <m:t>10</m:t>
                  </m:r>
                </m:sup>
                <m:e>
                  <m:r>
                    <m:rPr>
                      <m:sty m:val="p"/>
                    </m:rPr>
                    <m:t>(</m:t>
                  </m:r>
                </m:e>
              </m:nary>
              <m:sSub>
                <m:e>
                  <m:r>
                    <m:t>a</m:t>
                  </m:r>
                </m:e>
                <m:sub>
                  <m:r>
                    <m:t>i</m:t>
                  </m:r>
                  <m:r>
                    <m:t>j</m:t>
                  </m:r>
                </m:sub>
              </m:sSub>
              <m:r>
                <m:rPr>
                  <m:sty m:val="p"/>
                </m:rPr>
                <m:t>−</m:t>
              </m:r>
              <m:sSub>
                <m:e>
                  <m:acc>
                    <m:accPr>
                      <m:chr m:val="‾"/>
                    </m:accPr>
                    <m:e>
                      <m:r>
                        <m:t>a</m:t>
                      </m:r>
                    </m:e>
                  </m:acc>
                </m:e>
                <m:sub>
                  <m:r>
                    <m:t>j</m:t>
                  </m:r>
                </m:sub>
              </m:sSub>
              <m:sSup>
                <m:e>
                  <m:r>
                    <m:rPr>
                      <m:sty m:val="p"/>
                    </m:rPr>
                    <m:t>)</m:t>
                  </m:r>
                </m:e>
                <m:sup>
                  <m:r>
                    <m:t>2</m:t>
                  </m:r>
                </m:sup>
              </m:sSup>
            </m:e>
          </m:rad>
          <m:r>
            <m:rPr>
              <m:sty m:val="p"/>
            </m:rPr>
            <m:t>.</m:t>
          </m:r>
        </m:oMath>
      </m:oMathPara>
    </w:p>
    <w:p>
      <w:pPr>
        <w:pStyle w:val="FirstParagraph"/>
      </w:pPr>
      <w:r>
        <w:t xml:space="preserve">The</w:t>
      </w:r>
      <w:r>
        <w:t xml:space="preserve"> </w:t>
      </w:r>
      <w:r>
        <w:rPr>
          <w:rStyle w:val="VerbatimChar"/>
        </w:rPr>
        <w:t xml:space="preserve">ds2</w:t>
      </w:r>
      <w:r>
        <w:t xml:space="preserve"> </w:t>
      </w:r>
      <w:r>
        <w:t xml:space="preserve">summary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Classifier</w:t>
            </w:r>
          </w:p>
        </w:tc>
        <w:tc>
          <w:tcPr/>
          <w:p>
            <w:pPr>
              <w:pStyle w:val="Compact"/>
              <w:jc w:val="right"/>
            </w:pPr>
            <w:r>
              <w:t xml:space="preserve">Mean accuracy</w:t>
            </w:r>
          </w:p>
        </w:tc>
        <w:tc>
          <w:tcPr/>
          <w:p>
            <w:pPr>
              <w:pStyle w:val="Compact"/>
              <w:jc w:val="right"/>
            </w:pPr>
            <w:r>
              <w:t xml:space="preserve">Standard deviation</w:t>
            </w:r>
          </w:p>
        </w:tc>
      </w:tr>
      <w:tr>
        <w:tc>
          <w:tcPr/>
          <w:p>
            <w:pPr>
              <w:pStyle w:val="Compact"/>
              <w:jc w:val="left"/>
            </w:pPr>
            <w:r>
              <w:t xml:space="preserve">k-NN</w:t>
            </w:r>
          </w:p>
        </w:tc>
        <w:tc>
          <w:tcPr/>
          <w:p>
            <w:pPr>
              <w:pStyle w:val="Compact"/>
              <w:jc w:val="right"/>
            </w:pPr>
            <w:r>
              <w:t xml:space="preserve">0.865</w:t>
            </w:r>
          </w:p>
        </w:tc>
        <w:tc>
          <w:tcPr/>
          <w:p>
            <w:pPr>
              <w:pStyle w:val="Compact"/>
              <w:jc w:val="right"/>
            </w:pPr>
            <w:r>
              <w:t xml:space="preserve">0.063</w:t>
            </w:r>
          </w:p>
        </w:tc>
      </w:tr>
      <w:tr>
        <w:tc>
          <w:tcPr/>
          <w:p>
            <w:pPr>
              <w:pStyle w:val="Compact"/>
              <w:jc w:val="left"/>
            </w:pPr>
            <w:r>
              <w:t xml:space="preserve">SVM linear</w:t>
            </w:r>
          </w:p>
        </w:tc>
        <w:tc>
          <w:tcPr/>
          <w:p>
            <w:pPr>
              <w:pStyle w:val="Compact"/>
              <w:jc w:val="right"/>
            </w:pPr>
            <w:r>
              <w:t xml:space="preserve">0.865</w:t>
            </w:r>
          </w:p>
        </w:tc>
        <w:tc>
          <w:tcPr/>
          <w:p>
            <w:pPr>
              <w:pStyle w:val="Compact"/>
              <w:jc w:val="right"/>
            </w:pPr>
            <w:r>
              <w:t xml:space="preserve">0.063</w:t>
            </w:r>
          </w:p>
        </w:tc>
      </w:tr>
      <w:tr>
        <w:tc>
          <w:tcPr/>
          <w:p>
            <w:pPr>
              <w:pStyle w:val="Compact"/>
              <w:jc w:val="left"/>
            </w:pPr>
            <w:r>
              <w:t xml:space="preserve">SVM RBF</w:t>
            </w:r>
          </w:p>
        </w:tc>
        <w:tc>
          <w:tcPr/>
          <w:p>
            <w:pPr>
              <w:pStyle w:val="Compact"/>
              <w:jc w:val="right"/>
            </w:pPr>
            <w:r>
              <w:t xml:space="preserve">0.860</w:t>
            </w:r>
          </w:p>
        </w:tc>
        <w:tc>
          <w:tcPr/>
          <w:p>
            <w:pPr>
              <w:pStyle w:val="Compact"/>
              <w:jc w:val="right"/>
            </w:pPr>
            <w:r>
              <w:t xml:space="preserve">0.074</w:t>
            </w:r>
          </w:p>
        </w:tc>
      </w:tr>
      <w:tr>
        <w:tc>
          <w:tcPr/>
          <w:p>
            <w:pPr>
              <w:pStyle w:val="Compact"/>
              <w:jc w:val="left"/>
            </w:pPr>
            <w:r>
              <w:t xml:space="preserve">Naive Bayes</w:t>
            </w:r>
          </w:p>
        </w:tc>
        <w:tc>
          <w:tcPr/>
          <w:p>
            <w:pPr>
              <w:pStyle w:val="Compact"/>
              <w:jc w:val="right"/>
            </w:pPr>
            <w:r>
              <w:t xml:space="preserve">0.850</w:t>
            </w:r>
          </w:p>
        </w:tc>
        <w:tc>
          <w:tcPr/>
          <w:p>
            <w:pPr>
              <w:pStyle w:val="Compact"/>
              <w:jc w:val="right"/>
            </w:pPr>
            <w:r>
              <w:t xml:space="preserve">0.082</w:t>
            </w:r>
          </w:p>
        </w:tc>
      </w:tr>
      <w:tr>
        <w:tc>
          <w:tcPr/>
          <w:p>
            <w:pPr>
              <w:pStyle w:val="Compact"/>
              <w:jc w:val="left"/>
            </w:pPr>
            <w:r>
              <w:t xml:space="preserve">LDA</w:t>
            </w:r>
          </w:p>
        </w:tc>
        <w:tc>
          <w:tcPr/>
          <w:p>
            <w:pPr>
              <w:pStyle w:val="Compact"/>
              <w:jc w:val="right"/>
            </w:pPr>
            <w:r>
              <w:t xml:space="preserve">0.845</w:t>
            </w:r>
          </w:p>
        </w:tc>
        <w:tc>
          <w:tcPr/>
          <w:p>
            <w:pPr>
              <w:pStyle w:val="Compact"/>
              <w:jc w:val="right"/>
            </w:pPr>
            <w:r>
              <w:t xml:space="preserve">0.076</w:t>
            </w:r>
          </w:p>
        </w:tc>
      </w:tr>
      <w:tr>
        <w:tc>
          <w:tcPr/>
          <w:p>
            <w:pPr>
              <w:pStyle w:val="Compact"/>
              <w:jc w:val="left"/>
            </w:pPr>
            <w:r>
              <w:t xml:space="preserve">Tree</w:t>
            </w:r>
          </w:p>
        </w:tc>
        <w:tc>
          <w:tcPr/>
          <w:p>
            <w:pPr>
              <w:pStyle w:val="Compact"/>
              <w:jc w:val="right"/>
            </w:pPr>
            <w:r>
              <w:t xml:space="preserve">0.830</w:t>
            </w:r>
          </w:p>
        </w:tc>
        <w:tc>
          <w:tcPr/>
          <w:p>
            <w:pPr>
              <w:pStyle w:val="Compact"/>
              <w:jc w:val="right"/>
            </w:pPr>
            <w:r>
              <w:t xml:space="preserve">0.086</w:t>
            </w:r>
          </w:p>
        </w:tc>
      </w:tr>
      <w:tr>
        <w:tc>
          <w:tcPr/>
          <w:p>
            <w:pPr>
              <w:pStyle w:val="Compact"/>
              <w:jc w:val="left"/>
            </w:pPr>
            <w:r>
              <w:t xml:space="preserve">SVM poly</w:t>
            </w:r>
          </w:p>
        </w:tc>
        <w:tc>
          <w:tcPr/>
          <w:p>
            <w:pPr>
              <w:pStyle w:val="Compact"/>
              <w:jc w:val="right"/>
            </w:pPr>
            <w:r>
              <w:t xml:space="preserve">0.805</w:t>
            </w:r>
          </w:p>
        </w:tc>
        <w:tc>
          <w:tcPr/>
          <w:p>
            <w:pPr>
              <w:pStyle w:val="Compact"/>
              <w:jc w:val="right"/>
            </w:pPr>
            <w:r>
              <w:t xml:space="preserve">0.098</w:t>
            </w:r>
          </w:p>
        </w:tc>
      </w:tr>
    </w:tbl>
    <w:p>
      <w:pPr>
        <w:pStyle w:val="BodyText"/>
      </w:pPr>
      <w:r>
        <w:t xml:space="preserve">A useful close comparison is k-NN versus linear SVM. Both have mean accuracy 0.865 and standard deviation approximately 0.063. RBF SVM is also close in mean accuracy at 0.860, but its standard deviation is slightly larger at approximately 0.074.</w:t>
      </w:r>
    </w:p>
    <w:p>
      <w:pPr>
        <w:pStyle w:val="BodyText"/>
      </w:pPr>
      <w:r>
        <w:rPr>
          <w:b/>
          <w:bCs/>
        </w:rPr>
        <w:t xml:space="preserve">What is lost when only the mean is reported?</w:t>
      </w:r>
    </w:p>
    <w:p>
      <w:pPr>
        <w:pStyle w:val="BodyText"/>
      </w:pPr>
      <w:r>
        <w:t xml:space="preserve">The mean does not show how strongly performance changes across held-out samples. A classifier can have a good average score while being much less stable across folds than another classifier with a similar average.</w:t>
      </w:r>
    </w:p>
    <w:p>
      <w:pPr>
        <w:pStyle w:val="BlockText"/>
      </w:pPr>
      <w:r>
        <w:rPr>
          <w:b/>
          <w:bCs/>
        </w:rPr>
        <w:t xml:space="preserve">ML insight: mean and spread answer different questions</w:t>
      </w:r>
    </w:p>
    <w:p>
      <w:pPr>
        <w:pStyle w:val="BlockText"/>
      </w:pPr>
      <w:r>
        <w:t xml:space="preserve">The mean describes the centre of the observed cross-validation scores. The standard deviation describes their spread. Neither quantity should be interpreted in isolation.</w:t>
      </w:r>
    </w:p>
    <w:bookmarkEnd w:id="12"/>
    <w:bookmarkStart w:id="13" w:name="X37082ffb9c5b2526a6eb82268fbc6d1366c62da"/>
    <w:p>
      <w:pPr>
        <w:pStyle w:val="Heading1"/>
      </w:pPr>
      <w:r>
        <w:t xml:space="preserve">6.4 Compare the fold-wise score distributions</w:t>
      </w:r>
    </w:p>
    <w:p>
      <w:pPr>
        <w:pStyle w:val="FirstParagraph"/>
      </w:pPr>
      <w:r>
        <w:t xml:space="preserve">The boxplot for</w:t>
      </w:r>
      <w:r>
        <w:t xml:space="preserve"> </w:t>
      </w:r>
      <w:r>
        <w:rPr>
          <w:rStyle w:val="VerbatimChar"/>
        </w:rPr>
        <w:t xml:space="preserve">ds2</w:t>
      </w:r>
      <w:r>
        <w:t xml:space="preserve"> </w:t>
      </w:r>
      <w:r>
        <w:t xml:space="preserve">shows considerable overlap among the seven classifiers. The mean ordering therefore does not imply that the same classifier wins on every fold.</w:t>
      </w:r>
    </w:p>
    <w:p>
      <w:pPr>
        <w:pStyle w:val="BodyText"/>
      </w:pPr>
      <w:r>
        <w:t xml:space="preserve">The mean accuracies across the three tasks 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Classifier</w:t>
            </w:r>
          </w:p>
        </w:tc>
        <w:tc>
          <w:tcPr/>
          <w:p>
            <w:pPr>
              <w:pStyle w:val="Compact"/>
              <w:jc w:val="right"/>
            </w:pPr>
            <w:r>
              <w:rPr>
                <w:rStyle w:val="VerbatimChar"/>
              </w:rPr>
              <w:t xml:space="preserve">ds1</w:t>
            </w:r>
          </w:p>
        </w:tc>
        <w:tc>
          <w:tcPr/>
          <w:p>
            <w:pPr>
              <w:pStyle w:val="Compact"/>
              <w:jc w:val="right"/>
            </w:pPr>
            <w:r>
              <w:rPr>
                <w:rStyle w:val="VerbatimChar"/>
              </w:rPr>
              <w:t xml:space="preserve">ds2</w:t>
            </w:r>
          </w:p>
        </w:tc>
        <w:tc>
          <w:tcPr/>
          <w:p>
            <w:pPr>
              <w:pStyle w:val="Compact"/>
              <w:jc w:val="right"/>
            </w:pPr>
            <w:r>
              <w:rPr>
                <w:rStyle w:val="VerbatimChar"/>
              </w:rPr>
              <w:t xml:space="preserve">ds3</w:t>
            </w:r>
          </w:p>
        </w:tc>
      </w:tr>
      <w:tr>
        <w:tc>
          <w:tcPr/>
          <w:p>
            <w:pPr>
              <w:pStyle w:val="Compact"/>
              <w:jc w:val="left"/>
            </w:pPr>
            <w:r>
              <w:t xml:space="preserve">k-NN</w:t>
            </w:r>
          </w:p>
        </w:tc>
        <w:tc>
          <w:tcPr/>
          <w:p>
            <w:pPr>
              <w:pStyle w:val="Compact"/>
              <w:jc w:val="right"/>
            </w:pPr>
            <w:r>
              <w:t xml:space="preserve">1.000</w:t>
            </w:r>
          </w:p>
        </w:tc>
        <w:tc>
          <w:tcPr/>
          <w:p>
            <w:pPr>
              <w:pStyle w:val="Compact"/>
              <w:jc w:val="right"/>
            </w:pPr>
            <w:r>
              <w:t xml:space="preserve">0.865</w:t>
            </w:r>
          </w:p>
        </w:tc>
        <w:tc>
          <w:tcPr/>
          <w:p>
            <w:pPr>
              <w:pStyle w:val="Compact"/>
              <w:jc w:val="right"/>
            </w:pPr>
            <w:r>
              <w:t xml:space="preserve">0.860</w:t>
            </w:r>
          </w:p>
        </w:tc>
      </w:tr>
      <w:tr>
        <w:tc>
          <w:tcPr/>
          <w:p>
            <w:pPr>
              <w:pStyle w:val="Compact"/>
              <w:jc w:val="left"/>
            </w:pPr>
            <w:r>
              <w:t xml:space="preserve">Tree</w:t>
            </w:r>
          </w:p>
        </w:tc>
        <w:tc>
          <w:tcPr/>
          <w:p>
            <w:pPr>
              <w:pStyle w:val="Compact"/>
              <w:jc w:val="right"/>
            </w:pPr>
            <w:r>
              <w:t xml:space="preserve">1.000</w:t>
            </w:r>
          </w:p>
        </w:tc>
        <w:tc>
          <w:tcPr/>
          <w:p>
            <w:pPr>
              <w:pStyle w:val="Compact"/>
              <w:jc w:val="right"/>
            </w:pPr>
            <w:r>
              <w:t xml:space="preserve">0.830</w:t>
            </w:r>
          </w:p>
        </w:tc>
        <w:tc>
          <w:tcPr/>
          <w:p>
            <w:pPr>
              <w:pStyle w:val="Compact"/>
              <w:jc w:val="right"/>
            </w:pPr>
            <w:r>
              <w:t xml:space="preserve">0.900</w:t>
            </w:r>
          </w:p>
        </w:tc>
      </w:tr>
      <w:tr>
        <w:tc>
          <w:tcPr/>
          <w:p>
            <w:pPr>
              <w:pStyle w:val="Compact"/>
              <w:jc w:val="left"/>
            </w:pPr>
            <w:r>
              <w:t xml:space="preserve">LDA</w:t>
            </w:r>
          </w:p>
        </w:tc>
        <w:tc>
          <w:tcPr/>
          <w:p>
            <w:pPr>
              <w:pStyle w:val="Compact"/>
              <w:jc w:val="right"/>
            </w:pPr>
            <w:r>
              <w:t xml:space="preserve">1.000</w:t>
            </w:r>
          </w:p>
        </w:tc>
        <w:tc>
          <w:tcPr/>
          <w:p>
            <w:pPr>
              <w:pStyle w:val="Compact"/>
              <w:jc w:val="right"/>
            </w:pPr>
            <w:r>
              <w:t xml:space="preserve">0.845</w:t>
            </w:r>
          </w:p>
        </w:tc>
        <w:tc>
          <w:tcPr/>
          <w:p>
            <w:pPr>
              <w:pStyle w:val="Compact"/>
              <w:jc w:val="right"/>
            </w:pPr>
            <w:r>
              <w:t xml:space="preserve">0.325</w:t>
            </w:r>
          </w:p>
        </w:tc>
      </w:tr>
      <w:tr>
        <w:tc>
          <w:tcPr/>
          <w:p>
            <w:pPr>
              <w:pStyle w:val="Compact"/>
              <w:jc w:val="left"/>
            </w:pPr>
            <w:r>
              <w:t xml:space="preserve">Naive Bayes</w:t>
            </w:r>
          </w:p>
        </w:tc>
        <w:tc>
          <w:tcPr/>
          <w:p>
            <w:pPr>
              <w:pStyle w:val="Compact"/>
              <w:jc w:val="right"/>
            </w:pPr>
            <w:r>
              <w:t xml:space="preserve">1.000</w:t>
            </w:r>
          </w:p>
        </w:tc>
        <w:tc>
          <w:tcPr/>
          <w:p>
            <w:pPr>
              <w:pStyle w:val="Compact"/>
              <w:jc w:val="right"/>
            </w:pPr>
            <w:r>
              <w:t xml:space="preserve">0.850</w:t>
            </w:r>
          </w:p>
        </w:tc>
        <w:tc>
          <w:tcPr/>
          <w:p>
            <w:pPr>
              <w:pStyle w:val="Compact"/>
              <w:jc w:val="right"/>
            </w:pPr>
            <w:r>
              <w:t xml:space="preserve">0.905</w:t>
            </w:r>
          </w:p>
        </w:tc>
      </w:tr>
      <w:tr>
        <w:tc>
          <w:tcPr/>
          <w:p>
            <w:pPr>
              <w:pStyle w:val="Compact"/>
              <w:jc w:val="left"/>
            </w:pPr>
            <w:r>
              <w:t xml:space="preserve">SVM linear</w:t>
            </w:r>
          </w:p>
        </w:tc>
        <w:tc>
          <w:tcPr/>
          <w:p>
            <w:pPr>
              <w:pStyle w:val="Compact"/>
              <w:jc w:val="right"/>
            </w:pPr>
            <w:r>
              <w:t xml:space="preserve">1.000</w:t>
            </w:r>
          </w:p>
        </w:tc>
        <w:tc>
          <w:tcPr/>
          <w:p>
            <w:pPr>
              <w:pStyle w:val="Compact"/>
              <w:jc w:val="right"/>
            </w:pPr>
            <w:r>
              <w:t xml:space="preserve">0.865</w:t>
            </w:r>
          </w:p>
        </w:tc>
        <w:tc>
          <w:tcPr/>
          <w:p>
            <w:pPr>
              <w:pStyle w:val="Compact"/>
              <w:jc w:val="right"/>
            </w:pPr>
            <w:r>
              <w:t xml:space="preserve">0.420</w:t>
            </w:r>
          </w:p>
        </w:tc>
      </w:tr>
      <w:tr>
        <w:tc>
          <w:tcPr/>
          <w:p>
            <w:pPr>
              <w:pStyle w:val="Compact"/>
              <w:jc w:val="left"/>
            </w:pPr>
            <w:r>
              <w:t xml:space="preserve">SVM poly</w:t>
            </w:r>
          </w:p>
        </w:tc>
        <w:tc>
          <w:tcPr/>
          <w:p>
            <w:pPr>
              <w:pStyle w:val="Compact"/>
              <w:jc w:val="right"/>
            </w:pPr>
            <w:r>
              <w:t xml:space="preserve">0.995</w:t>
            </w:r>
          </w:p>
        </w:tc>
        <w:tc>
          <w:tcPr/>
          <w:p>
            <w:pPr>
              <w:pStyle w:val="Compact"/>
              <w:jc w:val="right"/>
            </w:pPr>
            <w:r>
              <w:t xml:space="preserve">0.805</w:t>
            </w:r>
          </w:p>
        </w:tc>
        <w:tc>
          <w:tcPr/>
          <w:p>
            <w:pPr>
              <w:pStyle w:val="Compact"/>
              <w:jc w:val="right"/>
            </w:pPr>
            <w:r>
              <w:t xml:space="preserve">0.445</w:t>
            </w:r>
          </w:p>
        </w:tc>
      </w:tr>
      <w:tr>
        <w:tc>
          <w:tcPr/>
          <w:p>
            <w:pPr>
              <w:pStyle w:val="Compact"/>
              <w:jc w:val="left"/>
            </w:pPr>
            <w:r>
              <w:t xml:space="preserve">SVM RBF</w:t>
            </w:r>
          </w:p>
        </w:tc>
        <w:tc>
          <w:tcPr/>
          <w:p>
            <w:pPr>
              <w:pStyle w:val="Compact"/>
              <w:jc w:val="right"/>
            </w:pPr>
            <w:r>
              <w:t xml:space="preserve">1.000</w:t>
            </w:r>
          </w:p>
        </w:tc>
        <w:tc>
          <w:tcPr/>
          <w:p>
            <w:pPr>
              <w:pStyle w:val="Compact"/>
              <w:jc w:val="right"/>
            </w:pPr>
            <w:r>
              <w:t xml:space="preserve">0.860</w:t>
            </w:r>
          </w:p>
        </w:tc>
        <w:tc>
          <w:tcPr/>
          <w:p>
            <w:pPr>
              <w:pStyle w:val="Compact"/>
              <w:jc w:val="right"/>
            </w:pPr>
            <w:r>
              <w:t xml:space="preserve">0.925</w:t>
            </w:r>
          </w:p>
        </w:tc>
      </w:tr>
    </w:tbl>
    <w:p>
      <w:pPr>
        <w:pStyle w:val="BodyText"/>
      </w:pPr>
      <w:r>
        <w:t xml:space="preserve">Several observations are important.</w:t>
      </w:r>
    </w:p>
    <w:p>
      <w:pPr>
        <w:pStyle w:val="Compact"/>
        <w:numPr>
          <w:ilvl w:val="0"/>
          <w:numId w:val="1002"/>
        </w:numPr>
      </w:pPr>
      <w:r>
        <w:t xml:space="preserve">On</w:t>
      </w:r>
      <w:r>
        <w:t xml:space="preserve"> </w:t>
      </w:r>
      <w:r>
        <w:rPr>
          <w:rStyle w:val="VerbatimChar"/>
        </w:rPr>
        <w:t xml:space="preserve">ds1</w:t>
      </w:r>
      <w:r>
        <w:t xml:space="preserve">, almost every classifier obtains perfect accuracy. This task provides little evidence for preferring one classifier over another on predictive accuracy alone.</w:t>
      </w:r>
    </w:p>
    <w:p>
      <w:pPr>
        <w:pStyle w:val="Compact"/>
        <w:numPr>
          <w:ilvl w:val="0"/>
          <w:numId w:val="1002"/>
        </w:numPr>
      </w:pPr>
      <w:r>
        <w:t xml:space="preserve">On</w:t>
      </w:r>
      <w:r>
        <w:t xml:space="preserve"> </w:t>
      </w:r>
      <w:r>
        <w:rPr>
          <w:rStyle w:val="VerbatimChar"/>
        </w:rPr>
        <w:t xml:space="preserve">ds2</w:t>
      </w:r>
      <w:r>
        <w:t xml:space="preserve">, the classifiers are much closer together and the fold distributions overlap substantially.</w:t>
      </w:r>
    </w:p>
    <w:p>
      <w:pPr>
        <w:pStyle w:val="Compact"/>
        <w:numPr>
          <w:ilvl w:val="0"/>
          <w:numId w:val="1002"/>
        </w:numPr>
      </w:pPr>
      <w:r>
        <w:t xml:space="preserve">On</w:t>
      </w:r>
      <w:r>
        <w:t xml:space="preserve"> </w:t>
      </w:r>
      <w:r>
        <w:rPr>
          <w:rStyle w:val="VerbatimChar"/>
        </w:rPr>
        <w:t xml:space="preserve">ds3</w:t>
      </w:r>
      <w:r>
        <w:t xml:space="preserve">, the ordering changes strongly. RBF SVM, naive Bayes, the tree, and k-NN perform well, while LDA and the linear and polynomial SVM configurations perform much worse.</w:t>
      </w:r>
    </w:p>
    <w:p>
      <w:pPr>
        <w:pStyle w:val="FirstParagraph"/>
      </w:pPr>
      <w:r>
        <w:t xml:space="preserve">The large changes on</w:t>
      </w:r>
      <w:r>
        <w:t xml:space="preserve"> </w:t>
      </w:r>
      <w:r>
        <w:rPr>
          <w:rStyle w:val="VerbatimChar"/>
        </w:rPr>
        <w:t xml:space="preserve">ds3</w:t>
      </w:r>
      <w:r>
        <w:t xml:space="preserve"> </w:t>
      </w:r>
      <w:r>
        <w:t xml:space="preserve">are evidence that</w:t>
      </w:r>
      <w:r>
        <w:t xml:space="preserve"> </w:t>
      </w:r>
      <w:r>
        <w:rPr>
          <w:b/>
          <w:bCs/>
        </w:rPr>
        <w:t xml:space="preserve">inductive bias matters</w:t>
      </w:r>
      <w:r>
        <w:t xml:space="preserve">. The same algorithms are being evaluated under the same general protocol, but their ability to represent the class geometry differs.</w:t>
      </w:r>
    </w:p>
    <w:p>
      <w:pPr>
        <w:pStyle w:val="BodyText"/>
      </w:pPr>
      <w:r>
        <w:rPr>
          <w:b/>
          <w:bCs/>
        </w:rPr>
        <w:t xml:space="preserve">Why interpret a small mean difference together with variability?</w:t>
      </w:r>
    </w:p>
    <w:p>
      <w:pPr>
        <w:pStyle w:val="BodyText"/>
      </w:pPr>
      <w:r>
        <w:t xml:space="preserve">A difference such as 0.865 versus 0.860 is small relative to the observed fold-to-fold spread. It should therefore be described as a small observed difference under this evaluation, rather than as strong evidence that one learner is intrinsically superior.</w:t>
      </w:r>
    </w:p>
    <w:p>
      <w:pPr>
        <w:pStyle w:val="BodyText"/>
      </w:pPr>
      <w:r>
        <w:t xml:space="preserve">The ten folds are useful for estimating performance and observing variation, but their training sets overlap. They are not ten independent experimental replications.</w:t>
      </w:r>
    </w:p>
    <w:bookmarkEnd w:id="13"/>
    <w:bookmarkStart w:id="14" w:name="compare-algorithms-across-ten-tasks"/>
    <w:p>
      <w:pPr>
        <w:pStyle w:val="Heading1"/>
      </w:pPr>
      <w:r>
        <w:t xml:space="preserve">6.5 Compare algorithms across ten tasks</w:t>
      </w:r>
    </w:p>
    <w:p>
      <w:pPr>
        <w:pStyle w:val="FirstParagraph"/>
      </w:pPr>
      <w:r>
        <w:t xml:space="preserve">The notebook loads the precomputed task-level results with:</w:t>
      </w:r>
    </w:p>
    <w:p>
      <w:pPr>
        <w:pStyle w:val="SourceCode"/>
      </w:pPr>
      <w:r>
        <w:rPr>
          <w:rStyle w:val="ImportTok"/>
        </w:rPr>
        <w:t xml:space="preserve">from</w:t>
      </w:r>
      <w:r>
        <w:rPr>
          <w:rStyle w:val="NormalTok"/>
        </w:rPr>
        <w:t xml:space="preserve"> mlcourse.labs </w:t>
      </w:r>
      <w:r>
        <w:rPr>
          <w:rStyle w:val="ImportTok"/>
        </w:rPr>
        <w:t xml:space="preserve">import</w:t>
      </w:r>
      <w:r>
        <w:rPr>
          <w:rStyle w:val="NormalTok"/>
        </w:rPr>
        <w:t xml:space="preserve"> load_task_results</w:t>
      </w:r>
      <w:r>
        <w:br/>
      </w:r>
      <w:r>
        <w:br/>
      </w:r>
      <w:r>
        <w:rPr>
          <w:rStyle w:val="NormalTok"/>
        </w:rPr>
        <w:t xml:space="preserve">task_means </w:t>
      </w:r>
      <w:r>
        <w:rPr>
          <w:rStyle w:val="OperatorTok"/>
        </w:rPr>
        <w:t xml:space="preserve">=</w:t>
      </w:r>
      <w:r>
        <w:rPr>
          <w:rStyle w:val="NormalTok"/>
        </w:rPr>
        <w:t xml:space="preserve"> load_task_results()</w:t>
      </w:r>
    </w:p>
    <w:p>
      <w:pPr>
        <w:pStyle w:val="FirstParagraph"/>
      </w:pPr>
      <w:r>
        <w:t xml:space="preserve">The mean-accuracy table 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Task</w:t>
            </w:r>
          </w:p>
        </w:tc>
        <w:tc>
          <w:tcPr/>
          <w:p>
            <w:pPr>
              <w:pStyle w:val="Compact"/>
              <w:jc w:val="right"/>
            </w:pPr>
            <w:r>
              <w:t xml:space="preserve">k-NN</w:t>
            </w:r>
          </w:p>
        </w:tc>
        <w:tc>
          <w:tcPr/>
          <w:p>
            <w:pPr>
              <w:pStyle w:val="Compact"/>
              <w:jc w:val="right"/>
            </w:pPr>
            <w:r>
              <w:t xml:space="preserve">Tree</w:t>
            </w:r>
          </w:p>
        </w:tc>
        <w:tc>
          <w:tcPr/>
          <w:p>
            <w:pPr>
              <w:pStyle w:val="Compact"/>
              <w:jc w:val="right"/>
            </w:pPr>
            <w:r>
              <w:t xml:space="preserve">LDA</w:t>
            </w:r>
          </w:p>
        </w:tc>
        <w:tc>
          <w:tcPr/>
          <w:p>
            <w:pPr>
              <w:pStyle w:val="Compact"/>
              <w:jc w:val="right"/>
            </w:pPr>
            <w:r>
              <w:t xml:space="preserve">Naive Bayes</w:t>
            </w:r>
          </w:p>
        </w:tc>
        <w:tc>
          <w:tcPr/>
          <w:p>
            <w:pPr>
              <w:pStyle w:val="Compact"/>
              <w:jc w:val="right"/>
            </w:pPr>
            <w:r>
              <w:t xml:space="preserve">SVM linear</w:t>
            </w:r>
          </w:p>
        </w:tc>
        <w:tc>
          <w:tcPr/>
          <w:p>
            <w:pPr>
              <w:pStyle w:val="Compact"/>
              <w:jc w:val="right"/>
            </w:pPr>
            <w:r>
              <w:t xml:space="preserve">SVM poly</w:t>
            </w:r>
          </w:p>
        </w:tc>
        <w:tc>
          <w:tcPr/>
          <w:p>
            <w:pPr>
              <w:pStyle w:val="Compact"/>
              <w:jc w:val="right"/>
            </w:pPr>
            <w:r>
              <w:t xml:space="preserve">SVM RBF</w:t>
            </w:r>
          </w:p>
        </w:tc>
      </w:tr>
      <w:tr>
        <w:tc>
          <w:tcPr/>
          <w:p>
            <w:pPr>
              <w:pStyle w:val="Compact"/>
              <w:jc w:val="left"/>
            </w:pPr>
            <w:r>
              <w:t xml:space="preserve">1</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2</w:t>
            </w:r>
          </w:p>
        </w:tc>
        <w:tc>
          <w:tcPr/>
          <w:p>
            <w:pPr>
              <w:pStyle w:val="Compact"/>
              <w:jc w:val="right"/>
            </w:pPr>
            <w:r>
              <w:t xml:space="preserve">0.880</w:t>
            </w:r>
          </w:p>
        </w:tc>
        <w:tc>
          <w:tcPr/>
          <w:p>
            <w:pPr>
              <w:pStyle w:val="Compact"/>
              <w:jc w:val="right"/>
            </w:pPr>
            <w:r>
              <w:t xml:space="preserve">0.820</w:t>
            </w:r>
          </w:p>
        </w:tc>
        <w:tc>
          <w:tcPr/>
          <w:p>
            <w:pPr>
              <w:pStyle w:val="Compact"/>
              <w:jc w:val="right"/>
            </w:pPr>
            <w:r>
              <w:t xml:space="preserve">0.845</w:t>
            </w:r>
          </w:p>
        </w:tc>
        <w:tc>
          <w:tcPr/>
          <w:p>
            <w:pPr>
              <w:pStyle w:val="Compact"/>
              <w:jc w:val="right"/>
            </w:pPr>
            <w:r>
              <w:t xml:space="preserve">0.860</w:t>
            </w:r>
          </w:p>
        </w:tc>
        <w:tc>
          <w:tcPr/>
          <w:p>
            <w:pPr>
              <w:pStyle w:val="Compact"/>
              <w:jc w:val="right"/>
            </w:pPr>
            <w:r>
              <w:t xml:space="preserve">0.845</w:t>
            </w:r>
          </w:p>
        </w:tc>
        <w:tc>
          <w:tcPr/>
          <w:p>
            <w:pPr>
              <w:pStyle w:val="Compact"/>
              <w:jc w:val="right"/>
            </w:pPr>
            <w:r>
              <w:t xml:space="preserve">0.835</w:t>
            </w:r>
          </w:p>
        </w:tc>
        <w:tc>
          <w:tcPr/>
          <w:p>
            <w:pPr>
              <w:pStyle w:val="Compact"/>
              <w:jc w:val="right"/>
            </w:pPr>
            <w:r>
              <w:t xml:space="preserve">0.865</w:t>
            </w:r>
          </w:p>
        </w:tc>
      </w:tr>
      <w:tr>
        <w:tc>
          <w:tcPr/>
          <w:p>
            <w:pPr>
              <w:pStyle w:val="Compact"/>
              <w:jc w:val="left"/>
            </w:pPr>
            <w:r>
              <w:t xml:space="preserve">3</w:t>
            </w:r>
          </w:p>
        </w:tc>
        <w:tc>
          <w:tcPr/>
          <w:p>
            <w:pPr>
              <w:pStyle w:val="Compact"/>
              <w:jc w:val="right"/>
            </w:pPr>
            <w:r>
              <w:t xml:space="preserve">0.875</w:t>
            </w:r>
          </w:p>
        </w:tc>
        <w:tc>
          <w:tcPr/>
          <w:p>
            <w:pPr>
              <w:pStyle w:val="Compact"/>
              <w:jc w:val="right"/>
            </w:pPr>
            <w:r>
              <w:t xml:space="preserve">0.875</w:t>
            </w:r>
          </w:p>
        </w:tc>
        <w:tc>
          <w:tcPr/>
          <w:p>
            <w:pPr>
              <w:pStyle w:val="Compact"/>
              <w:jc w:val="right"/>
            </w:pPr>
            <w:r>
              <w:t xml:space="preserve">0.305</w:t>
            </w:r>
          </w:p>
        </w:tc>
        <w:tc>
          <w:tcPr/>
          <w:p>
            <w:pPr>
              <w:pStyle w:val="Compact"/>
              <w:jc w:val="right"/>
            </w:pPr>
            <w:r>
              <w:t xml:space="preserve">0.920</w:t>
            </w:r>
          </w:p>
        </w:tc>
        <w:tc>
          <w:tcPr/>
          <w:p>
            <w:pPr>
              <w:pStyle w:val="Compact"/>
              <w:jc w:val="right"/>
            </w:pPr>
            <w:r>
              <w:t xml:space="preserve">0.340</w:t>
            </w:r>
          </w:p>
        </w:tc>
        <w:tc>
          <w:tcPr/>
          <w:p>
            <w:pPr>
              <w:pStyle w:val="Compact"/>
              <w:jc w:val="right"/>
            </w:pPr>
            <w:r>
              <w:t xml:space="preserve">0.390</w:t>
            </w:r>
          </w:p>
        </w:tc>
        <w:tc>
          <w:tcPr/>
          <w:p>
            <w:pPr>
              <w:pStyle w:val="Compact"/>
              <w:jc w:val="right"/>
            </w:pPr>
            <w:r>
              <w:t xml:space="preserve">0.930</w:t>
            </w:r>
          </w:p>
        </w:tc>
      </w:tr>
      <w:tr>
        <w:tc>
          <w:tcPr/>
          <w:p>
            <w:pPr>
              <w:pStyle w:val="Compact"/>
              <w:jc w:val="left"/>
            </w:pPr>
            <w:r>
              <w:t xml:space="preserve">4</w:t>
            </w:r>
          </w:p>
        </w:tc>
        <w:tc>
          <w:tcPr/>
          <w:p>
            <w:pPr>
              <w:pStyle w:val="Compact"/>
              <w:jc w:val="right"/>
            </w:pPr>
            <w:r>
              <w:t xml:space="preserve">0.895</w:t>
            </w:r>
          </w:p>
        </w:tc>
        <w:tc>
          <w:tcPr/>
          <w:p>
            <w:pPr>
              <w:pStyle w:val="Compact"/>
              <w:jc w:val="right"/>
            </w:pPr>
            <w:r>
              <w:t xml:space="preserve">0.890</w:t>
            </w:r>
          </w:p>
        </w:tc>
        <w:tc>
          <w:tcPr/>
          <w:p>
            <w:pPr>
              <w:pStyle w:val="Compact"/>
              <w:jc w:val="right"/>
            </w:pPr>
            <w:r>
              <w:t xml:space="preserve">0.910</w:t>
            </w:r>
          </w:p>
        </w:tc>
        <w:tc>
          <w:tcPr/>
          <w:p>
            <w:pPr>
              <w:pStyle w:val="Compact"/>
              <w:jc w:val="right"/>
            </w:pPr>
            <w:r>
              <w:t xml:space="preserve">0.890</w:t>
            </w:r>
          </w:p>
        </w:tc>
        <w:tc>
          <w:tcPr/>
          <w:p>
            <w:pPr>
              <w:pStyle w:val="Compact"/>
              <w:jc w:val="right"/>
            </w:pPr>
            <w:r>
              <w:t xml:space="preserve">0.920</w:t>
            </w:r>
          </w:p>
        </w:tc>
        <w:tc>
          <w:tcPr/>
          <w:p>
            <w:pPr>
              <w:pStyle w:val="Compact"/>
              <w:jc w:val="right"/>
            </w:pPr>
            <w:r>
              <w:t xml:space="preserve">0.880</w:t>
            </w:r>
          </w:p>
        </w:tc>
        <w:tc>
          <w:tcPr/>
          <w:p>
            <w:pPr>
              <w:pStyle w:val="Compact"/>
              <w:jc w:val="right"/>
            </w:pPr>
            <w:r>
              <w:t xml:space="preserve">0.925</w:t>
            </w:r>
          </w:p>
        </w:tc>
      </w:tr>
      <w:tr>
        <w:tc>
          <w:tcPr/>
          <w:p>
            <w:pPr>
              <w:pStyle w:val="Compact"/>
              <w:jc w:val="left"/>
            </w:pPr>
            <w:r>
              <w:t xml:space="preserve">5</w:t>
            </w:r>
          </w:p>
        </w:tc>
        <w:tc>
          <w:tcPr/>
          <w:p>
            <w:pPr>
              <w:pStyle w:val="Compact"/>
              <w:jc w:val="right"/>
            </w:pPr>
            <w:r>
              <w:t xml:space="preserve">0.880</w:t>
            </w:r>
          </w:p>
        </w:tc>
        <w:tc>
          <w:tcPr/>
          <w:p>
            <w:pPr>
              <w:pStyle w:val="Compact"/>
              <w:jc w:val="right"/>
            </w:pPr>
            <w:r>
              <w:t xml:space="preserve">0.820</w:t>
            </w:r>
          </w:p>
        </w:tc>
        <w:tc>
          <w:tcPr/>
          <w:p>
            <w:pPr>
              <w:pStyle w:val="Compact"/>
              <w:jc w:val="right"/>
            </w:pPr>
            <w:r>
              <w:t xml:space="preserve">0.845</w:t>
            </w:r>
          </w:p>
        </w:tc>
        <w:tc>
          <w:tcPr/>
          <w:p>
            <w:pPr>
              <w:pStyle w:val="Compact"/>
              <w:jc w:val="right"/>
            </w:pPr>
            <w:r>
              <w:t xml:space="preserve">0.860</w:t>
            </w:r>
          </w:p>
        </w:tc>
        <w:tc>
          <w:tcPr/>
          <w:p>
            <w:pPr>
              <w:pStyle w:val="Compact"/>
              <w:jc w:val="right"/>
            </w:pPr>
            <w:r>
              <w:t xml:space="preserve">0.845</w:t>
            </w:r>
          </w:p>
        </w:tc>
        <w:tc>
          <w:tcPr/>
          <w:p>
            <w:pPr>
              <w:pStyle w:val="Compact"/>
              <w:jc w:val="right"/>
            </w:pPr>
            <w:r>
              <w:t xml:space="preserve">0.835</w:t>
            </w:r>
          </w:p>
        </w:tc>
        <w:tc>
          <w:tcPr/>
          <w:p>
            <w:pPr>
              <w:pStyle w:val="Compact"/>
              <w:jc w:val="right"/>
            </w:pPr>
            <w:r>
              <w:t xml:space="preserve">0.865</w:t>
            </w:r>
          </w:p>
        </w:tc>
      </w:tr>
      <w:tr>
        <w:tc>
          <w:tcPr/>
          <w:p>
            <w:pPr>
              <w:pStyle w:val="Compact"/>
              <w:jc w:val="left"/>
            </w:pPr>
            <w:r>
              <w:t xml:space="preserve">6</w:t>
            </w:r>
          </w:p>
        </w:tc>
        <w:tc>
          <w:tcPr/>
          <w:p>
            <w:pPr>
              <w:pStyle w:val="Compact"/>
              <w:jc w:val="right"/>
            </w:pPr>
            <w:r>
              <w:t xml:space="preserve">0.875</w:t>
            </w:r>
          </w:p>
        </w:tc>
        <w:tc>
          <w:tcPr/>
          <w:p>
            <w:pPr>
              <w:pStyle w:val="Compact"/>
              <w:jc w:val="right"/>
            </w:pPr>
            <w:r>
              <w:t xml:space="preserve">0.870</w:t>
            </w:r>
          </w:p>
        </w:tc>
        <w:tc>
          <w:tcPr/>
          <w:p>
            <w:pPr>
              <w:pStyle w:val="Compact"/>
              <w:jc w:val="right"/>
            </w:pPr>
            <w:r>
              <w:t xml:space="preserve">0.305</w:t>
            </w:r>
          </w:p>
        </w:tc>
        <w:tc>
          <w:tcPr/>
          <w:p>
            <w:pPr>
              <w:pStyle w:val="Compact"/>
              <w:jc w:val="right"/>
            </w:pPr>
            <w:r>
              <w:t xml:space="preserve">0.920</w:t>
            </w:r>
          </w:p>
        </w:tc>
        <w:tc>
          <w:tcPr/>
          <w:p>
            <w:pPr>
              <w:pStyle w:val="Compact"/>
              <w:jc w:val="right"/>
            </w:pPr>
            <w:r>
              <w:t xml:space="preserve">0.340</w:t>
            </w:r>
          </w:p>
        </w:tc>
        <w:tc>
          <w:tcPr/>
          <w:p>
            <w:pPr>
              <w:pStyle w:val="Compact"/>
              <w:jc w:val="right"/>
            </w:pPr>
            <w:r>
              <w:t xml:space="preserve">0.390</w:t>
            </w:r>
          </w:p>
        </w:tc>
        <w:tc>
          <w:tcPr/>
          <w:p>
            <w:pPr>
              <w:pStyle w:val="Compact"/>
              <w:jc w:val="right"/>
            </w:pPr>
            <w:r>
              <w:t xml:space="preserve">0.930</w:t>
            </w:r>
          </w:p>
        </w:tc>
      </w:tr>
      <w:tr>
        <w:tc>
          <w:tcPr/>
          <w:p>
            <w:pPr>
              <w:pStyle w:val="Compact"/>
              <w:jc w:val="left"/>
            </w:pPr>
            <w:r>
              <w:t xml:space="preserve">7</w:t>
            </w:r>
          </w:p>
        </w:tc>
        <w:tc>
          <w:tcPr/>
          <w:p>
            <w:pPr>
              <w:pStyle w:val="Compact"/>
              <w:jc w:val="right"/>
            </w:pPr>
            <w:r>
              <w:t xml:space="preserve">0.935</w:t>
            </w:r>
          </w:p>
        </w:tc>
        <w:tc>
          <w:tcPr/>
          <w:p>
            <w:pPr>
              <w:pStyle w:val="Compact"/>
              <w:jc w:val="right"/>
            </w:pPr>
            <w:r>
              <w:t xml:space="preserve">0.875</w:t>
            </w:r>
          </w:p>
        </w:tc>
        <w:tc>
          <w:tcPr/>
          <w:p>
            <w:pPr>
              <w:pStyle w:val="Compact"/>
              <w:jc w:val="right"/>
            </w:pPr>
            <w:r>
              <w:t xml:space="preserve">0.910</w:t>
            </w:r>
          </w:p>
        </w:tc>
        <w:tc>
          <w:tcPr/>
          <w:p>
            <w:pPr>
              <w:pStyle w:val="Compact"/>
              <w:jc w:val="right"/>
            </w:pPr>
            <w:r>
              <w:t xml:space="preserve">0.910</w:t>
            </w:r>
          </w:p>
        </w:tc>
        <w:tc>
          <w:tcPr/>
          <w:p>
            <w:pPr>
              <w:pStyle w:val="Compact"/>
              <w:jc w:val="right"/>
            </w:pPr>
            <w:r>
              <w:t xml:space="preserve">0.915</w:t>
            </w:r>
          </w:p>
        </w:tc>
        <w:tc>
          <w:tcPr/>
          <w:p>
            <w:pPr>
              <w:pStyle w:val="Compact"/>
              <w:jc w:val="right"/>
            </w:pPr>
            <w:r>
              <w:t xml:space="preserve">0.855</w:t>
            </w:r>
          </w:p>
        </w:tc>
        <w:tc>
          <w:tcPr/>
          <w:p>
            <w:pPr>
              <w:pStyle w:val="Compact"/>
              <w:jc w:val="right"/>
            </w:pPr>
            <w:r>
              <w:t xml:space="preserve">0.915</w:t>
            </w:r>
          </w:p>
        </w:tc>
      </w:tr>
      <w:tr>
        <w:tc>
          <w:tcPr/>
          <w:p>
            <w:pPr>
              <w:pStyle w:val="Compact"/>
              <w:jc w:val="left"/>
            </w:pPr>
            <w:r>
              <w:t xml:space="preserve">8</w:t>
            </w:r>
          </w:p>
        </w:tc>
        <w:tc>
          <w:tcPr/>
          <w:p>
            <w:pPr>
              <w:pStyle w:val="Compact"/>
              <w:jc w:val="right"/>
            </w:pPr>
            <w:r>
              <w:t xml:space="preserve">0.890</w:t>
            </w:r>
          </w:p>
        </w:tc>
        <w:tc>
          <w:tcPr/>
          <w:p>
            <w:pPr>
              <w:pStyle w:val="Compact"/>
              <w:jc w:val="right"/>
            </w:pPr>
            <w:r>
              <w:t xml:space="preserve">0.880</w:t>
            </w:r>
          </w:p>
        </w:tc>
        <w:tc>
          <w:tcPr/>
          <w:p>
            <w:pPr>
              <w:pStyle w:val="Compact"/>
              <w:jc w:val="right"/>
            </w:pPr>
            <w:r>
              <w:t xml:space="preserve">0.910</w:t>
            </w:r>
          </w:p>
        </w:tc>
        <w:tc>
          <w:tcPr/>
          <w:p>
            <w:pPr>
              <w:pStyle w:val="Compact"/>
              <w:jc w:val="right"/>
            </w:pPr>
            <w:r>
              <w:t xml:space="preserve">0.905</w:t>
            </w:r>
          </w:p>
        </w:tc>
        <w:tc>
          <w:tcPr/>
          <w:p>
            <w:pPr>
              <w:pStyle w:val="Compact"/>
              <w:jc w:val="right"/>
            </w:pPr>
            <w:r>
              <w:t xml:space="preserve">0.905</w:t>
            </w:r>
          </w:p>
        </w:tc>
        <w:tc>
          <w:tcPr/>
          <w:p>
            <w:pPr>
              <w:pStyle w:val="Compact"/>
              <w:jc w:val="right"/>
            </w:pPr>
            <w:r>
              <w:t xml:space="preserve">0.880</w:t>
            </w:r>
          </w:p>
        </w:tc>
        <w:tc>
          <w:tcPr/>
          <w:p>
            <w:pPr>
              <w:pStyle w:val="Compact"/>
              <w:jc w:val="right"/>
            </w:pPr>
            <w:r>
              <w:t xml:space="preserve">0.905</w:t>
            </w:r>
          </w:p>
        </w:tc>
      </w:tr>
      <w:tr>
        <w:tc>
          <w:tcPr/>
          <w:p>
            <w:pPr>
              <w:pStyle w:val="Compact"/>
              <w:jc w:val="left"/>
            </w:pPr>
            <w:r>
              <w:t xml:space="preserve">9</w:t>
            </w:r>
          </w:p>
        </w:tc>
        <w:tc>
          <w:tcPr/>
          <w:p>
            <w:pPr>
              <w:pStyle w:val="Compact"/>
              <w:jc w:val="right"/>
            </w:pPr>
            <w:r>
              <w:t xml:space="preserve">0.960</w:t>
            </w:r>
          </w:p>
        </w:tc>
        <w:tc>
          <w:tcPr/>
          <w:p>
            <w:pPr>
              <w:pStyle w:val="Compact"/>
              <w:jc w:val="right"/>
            </w:pPr>
            <w:r>
              <w:t xml:space="preserve">0.920</w:t>
            </w:r>
          </w:p>
        </w:tc>
        <w:tc>
          <w:tcPr/>
          <w:p>
            <w:pPr>
              <w:pStyle w:val="Compact"/>
              <w:jc w:val="right"/>
            </w:pPr>
            <w:r>
              <w:t xml:space="preserve">0.915</w:t>
            </w:r>
          </w:p>
        </w:tc>
        <w:tc>
          <w:tcPr/>
          <w:p>
            <w:pPr>
              <w:pStyle w:val="Compact"/>
              <w:jc w:val="right"/>
            </w:pPr>
            <w:r>
              <w:t xml:space="preserve">0.935</w:t>
            </w:r>
          </w:p>
        </w:tc>
        <w:tc>
          <w:tcPr/>
          <w:p>
            <w:pPr>
              <w:pStyle w:val="Compact"/>
              <w:jc w:val="right"/>
            </w:pPr>
            <w:r>
              <w:t xml:space="preserve">0.940</w:t>
            </w:r>
          </w:p>
        </w:tc>
        <w:tc>
          <w:tcPr/>
          <w:p>
            <w:pPr>
              <w:pStyle w:val="Compact"/>
              <w:jc w:val="right"/>
            </w:pPr>
            <w:r>
              <w:t xml:space="preserve">0.915</w:t>
            </w:r>
          </w:p>
        </w:tc>
        <w:tc>
          <w:tcPr/>
          <w:p>
            <w:pPr>
              <w:pStyle w:val="Compact"/>
              <w:jc w:val="right"/>
            </w:pPr>
            <w:r>
              <w:t xml:space="preserve">0.950</w:t>
            </w:r>
          </w:p>
        </w:tc>
      </w:tr>
      <w:tr>
        <w:tc>
          <w:tcPr/>
          <w:p>
            <w:pPr>
              <w:pStyle w:val="Compact"/>
              <w:jc w:val="left"/>
            </w:pPr>
            <w:r>
              <w:t xml:space="preserve">10</w:t>
            </w:r>
          </w:p>
        </w:tc>
        <w:tc>
          <w:tcPr/>
          <w:p>
            <w:pPr>
              <w:pStyle w:val="Compact"/>
              <w:jc w:val="right"/>
            </w:pPr>
            <w:r>
              <w:t xml:space="preserve">0.950</w:t>
            </w:r>
          </w:p>
        </w:tc>
        <w:tc>
          <w:tcPr/>
          <w:p>
            <w:pPr>
              <w:pStyle w:val="Compact"/>
              <w:jc w:val="right"/>
            </w:pPr>
            <w:r>
              <w:t xml:space="preserve">0.920</w:t>
            </w:r>
          </w:p>
        </w:tc>
        <w:tc>
          <w:tcPr/>
          <w:p>
            <w:pPr>
              <w:pStyle w:val="Compact"/>
              <w:jc w:val="right"/>
            </w:pPr>
            <w:r>
              <w:t xml:space="preserve">0.955</w:t>
            </w:r>
          </w:p>
        </w:tc>
        <w:tc>
          <w:tcPr/>
          <w:p>
            <w:pPr>
              <w:pStyle w:val="Compact"/>
              <w:jc w:val="right"/>
            </w:pPr>
            <w:r>
              <w:t xml:space="preserve">0.955</w:t>
            </w:r>
          </w:p>
        </w:tc>
        <w:tc>
          <w:tcPr/>
          <w:p>
            <w:pPr>
              <w:pStyle w:val="Compact"/>
              <w:jc w:val="right"/>
            </w:pPr>
            <w:r>
              <w:t xml:space="preserve">0.945</w:t>
            </w:r>
          </w:p>
        </w:tc>
        <w:tc>
          <w:tcPr/>
          <w:p>
            <w:pPr>
              <w:pStyle w:val="Compact"/>
              <w:jc w:val="right"/>
            </w:pPr>
            <w:r>
              <w:t xml:space="preserve">0.920</w:t>
            </w:r>
          </w:p>
        </w:tc>
        <w:tc>
          <w:tcPr/>
          <w:p>
            <w:pPr>
              <w:pStyle w:val="Compact"/>
              <w:jc w:val="right"/>
            </w:pPr>
            <w:r>
              <w:t xml:space="preserve">0.945</w:t>
            </w:r>
          </w:p>
        </w:tc>
      </w:tr>
    </w:tbl>
    <w:p>
      <w:pPr>
        <w:pStyle w:val="BodyText"/>
      </w:pPr>
      <w:r>
        <w:t xml:space="preserve">Ranking each row from best to worst gives several useful examples:</w:t>
      </w:r>
    </w:p>
    <w:p>
      <w:pPr>
        <w:pStyle w:val="Compact"/>
        <w:numPr>
          <w:ilvl w:val="0"/>
          <w:numId w:val="1003"/>
        </w:numPr>
      </w:pPr>
      <w:r>
        <w:t xml:space="preserve">Task 1 is a complete tie, so all seven algorithms receive average rank 4.</w:t>
      </w:r>
    </w:p>
    <w:p>
      <w:pPr>
        <w:pStyle w:val="Compact"/>
        <w:numPr>
          <w:ilvl w:val="0"/>
          <w:numId w:val="1003"/>
        </w:numPr>
      </w:pPr>
      <w:r>
        <w:t xml:space="preserve">k-NN ranks first on Task 2.</w:t>
      </w:r>
    </w:p>
    <w:p>
      <w:pPr>
        <w:pStyle w:val="Compact"/>
        <w:numPr>
          <w:ilvl w:val="0"/>
          <w:numId w:val="1003"/>
        </w:numPr>
      </w:pPr>
      <w:r>
        <w:t xml:space="preserve">RBF SVM ranks first on Task 3.</w:t>
      </w:r>
    </w:p>
    <w:p>
      <w:pPr>
        <w:pStyle w:val="Compact"/>
        <w:numPr>
          <w:ilvl w:val="0"/>
          <w:numId w:val="1003"/>
        </w:numPr>
      </w:pPr>
      <w:r>
        <w:t xml:space="preserve">LDA and naive Bayes tie for the best accuracy on Task 10.</w:t>
      </w:r>
    </w:p>
    <w:p>
      <w:pPr>
        <w:pStyle w:val="FirstParagraph"/>
      </w:pPr>
      <w:r>
        <w:t xml:space="preserve">Ranks and raw accuracies answer related but different questions. Accuracy preserves the size of a performance difference, while ranks preserve only the ordering within each task. A difference of 0.001 and a difference of 0.200 can both correspond to adjacent ranks.</w:t>
      </w:r>
    </w:p>
    <w:p>
      <w:pPr>
        <w:pStyle w:val="BodyText"/>
      </w:pPr>
      <w:r>
        <w:rPr>
          <w:b/>
          <w:bCs/>
        </w:rPr>
        <w:t xml:space="preserve">What changes when one row represents an entire dataset?</w:t>
      </w:r>
    </w:p>
    <w:p>
      <w:pPr>
        <w:pStyle w:val="BodyText"/>
      </w:pPr>
      <w:r>
        <w:t xml:space="preserve">The unit of analysis is now the learning task. Each dataset contributes one summary performance for each algorithm. This is fundamentally different from treating individual cross-validation folds as separate tasks.</w:t>
      </w:r>
    </w:p>
    <w:bookmarkEnd w:id="14"/>
    <w:bookmarkStart w:id="15" w:name="average-ranks-and-the-friedman-test"/>
    <w:p>
      <w:pPr>
        <w:pStyle w:val="Heading1"/>
      </w:pPr>
      <w:r>
        <w:t xml:space="preserve">6.6 Average ranks and the Friedman test</w:t>
      </w:r>
    </w:p>
    <w:p>
      <w:pPr>
        <w:pStyle w:val="FirstParagraph"/>
      </w:pPr>
      <w:r>
        <w:t xml:space="preserve">For each classifier, average its ranks over the ten tasks. The resulting values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Classifier</w:t>
            </w:r>
          </w:p>
        </w:tc>
        <w:tc>
          <w:tcPr/>
          <w:p>
            <w:pPr>
              <w:pStyle w:val="Compact"/>
              <w:jc w:val="right"/>
            </w:pPr>
            <w:r>
              <w:t xml:space="preserve">Average rank</w:t>
            </w:r>
          </w:p>
        </w:tc>
      </w:tr>
      <w:tr>
        <w:tc>
          <w:tcPr/>
          <w:p>
            <w:pPr>
              <w:pStyle w:val="Compact"/>
              <w:jc w:val="left"/>
            </w:pPr>
            <w:r>
              <w:t xml:space="preserve">SVM RBF</w:t>
            </w:r>
          </w:p>
        </w:tc>
        <w:tc>
          <w:tcPr/>
          <w:p>
            <w:pPr>
              <w:pStyle w:val="Compact"/>
              <w:jc w:val="right"/>
            </w:pPr>
            <w:r>
              <w:t xml:space="preserve">2.30</w:t>
            </w:r>
          </w:p>
        </w:tc>
      </w:tr>
      <w:tr>
        <w:tc>
          <w:tcPr/>
          <w:p>
            <w:pPr>
              <w:pStyle w:val="Compact"/>
              <w:jc w:val="left"/>
            </w:pPr>
            <w:r>
              <w:t xml:space="preserve">k-NN</w:t>
            </w:r>
          </w:p>
        </w:tc>
        <w:tc>
          <w:tcPr/>
          <w:p>
            <w:pPr>
              <w:pStyle w:val="Compact"/>
              <w:jc w:val="right"/>
            </w:pPr>
            <w:r>
              <w:t xml:space="preserve">2.65</w:t>
            </w:r>
          </w:p>
        </w:tc>
      </w:tr>
      <w:tr>
        <w:tc>
          <w:tcPr/>
          <w:p>
            <w:pPr>
              <w:pStyle w:val="Compact"/>
              <w:jc w:val="left"/>
            </w:pPr>
            <w:r>
              <w:t xml:space="preserve">Naive Bayes</w:t>
            </w:r>
          </w:p>
        </w:tc>
        <w:tc>
          <w:tcPr/>
          <w:p>
            <w:pPr>
              <w:pStyle w:val="Compact"/>
              <w:jc w:val="right"/>
            </w:pPr>
            <w:r>
              <w:t xml:space="preserve">3.30</w:t>
            </w:r>
          </w:p>
        </w:tc>
      </w:tr>
      <w:tr>
        <w:tc>
          <w:tcPr/>
          <w:p>
            <w:pPr>
              <w:pStyle w:val="Compact"/>
              <w:jc w:val="left"/>
            </w:pPr>
            <w:r>
              <w:t xml:space="preserve">SVM linear</w:t>
            </w:r>
          </w:p>
        </w:tc>
        <w:tc>
          <w:tcPr/>
          <w:p>
            <w:pPr>
              <w:pStyle w:val="Compact"/>
              <w:jc w:val="right"/>
            </w:pPr>
            <w:r>
              <w:t xml:space="preserve">4.00</w:t>
            </w:r>
          </w:p>
        </w:tc>
      </w:tr>
      <w:tr>
        <w:tc>
          <w:tcPr/>
          <w:p>
            <w:pPr>
              <w:pStyle w:val="Compact"/>
              <w:jc w:val="left"/>
            </w:pPr>
            <w:r>
              <w:t xml:space="preserve">LDA</w:t>
            </w:r>
          </w:p>
        </w:tc>
        <w:tc>
          <w:tcPr/>
          <w:p>
            <w:pPr>
              <w:pStyle w:val="Compact"/>
              <w:jc w:val="right"/>
            </w:pPr>
            <w:r>
              <w:t xml:space="preserve">4.35</w:t>
            </w:r>
          </w:p>
        </w:tc>
      </w:tr>
      <w:tr>
        <w:tc>
          <w:tcPr/>
          <w:p>
            <w:pPr>
              <w:pStyle w:val="Compact"/>
              <w:jc w:val="left"/>
            </w:pPr>
            <w:r>
              <w:t xml:space="preserve">Tree</w:t>
            </w:r>
          </w:p>
        </w:tc>
        <w:tc>
          <w:tcPr/>
          <w:p>
            <w:pPr>
              <w:pStyle w:val="Compact"/>
              <w:jc w:val="right"/>
            </w:pPr>
            <w:r>
              <w:t xml:space="preserve">5.45</w:t>
            </w:r>
          </w:p>
        </w:tc>
      </w:tr>
      <w:tr>
        <w:tc>
          <w:tcPr/>
          <w:p>
            <w:pPr>
              <w:pStyle w:val="Compact"/>
              <w:jc w:val="left"/>
            </w:pPr>
            <w:r>
              <w:t xml:space="preserve">SVM poly</w:t>
            </w:r>
          </w:p>
        </w:tc>
        <w:tc>
          <w:tcPr/>
          <w:p>
            <w:pPr>
              <w:pStyle w:val="Compact"/>
              <w:jc w:val="right"/>
            </w:pPr>
            <w:r>
              <w:t xml:space="preserve">5.95</w:t>
            </w:r>
          </w:p>
        </w:tc>
      </w:tr>
    </w:tbl>
    <w:p>
      <w:pPr>
        <w:pStyle w:val="BodyText"/>
      </w:pPr>
      <w:r>
        <w:t xml:space="preserve">Lower is better, so RBF SVM has the best observed average rank, followed by k-NN and naive Bayes.</w:t>
      </w:r>
    </w:p>
    <w:p>
      <w:pPr>
        <w:pStyle w:val="BodyText"/>
      </w:pPr>
      <w:r>
        <w:t xml:space="preserve">The Friedman test gives</w:t>
      </w:r>
    </w:p>
    <w:p>
      <w:pPr>
        <w:pStyle w:val="BodyText"/>
      </w:pPr>
      <m:oMathPara>
        <m:oMathParaPr>
          <m:jc m:val="center"/>
        </m:oMathParaPr>
        <m:oMath>
          <m:sSubSup>
            <m:e>
              <m:r>
                <m:t>χ</m:t>
              </m:r>
            </m:e>
            <m:sub>
              <m:r>
                <m:t>F</m:t>
              </m:r>
            </m:sub>
            <m:sup>
              <m:r>
                <m:t>2</m:t>
              </m:r>
            </m:sup>
          </m:sSubSup>
          <m:r>
            <m:rPr>
              <m:sty m:val="p"/>
            </m:rPr>
            <m:t>≈</m:t>
          </m:r>
          <m:r>
            <m:t>27.502</m:t>
          </m:r>
          <m:r>
            <m:rPr>
              <m:sty m:val="p"/>
            </m:rPr>
            <m:t>,</m:t>
          </m:r>
          <m:r>
            <m:t>  </m:t>
          </m:r>
          <m:r>
            <m:t>p</m:t>
          </m:r>
          <m:r>
            <m:rPr>
              <m:sty m:val="p"/>
            </m:rPr>
            <m:t>≈</m:t>
          </m:r>
          <m:r>
            <m:t>0.000117</m:t>
          </m:r>
          <m:r>
            <m:rPr>
              <m:sty m:val="p"/>
            </m:rPr>
            <m:t>.</m:t>
          </m:r>
        </m:oMath>
      </m:oMathPara>
    </w:p>
    <w:p>
      <w:pPr>
        <w:pStyle w:val="FirstParagraph"/>
      </w:pPr>
      <w:r>
        <w:t xml:space="preserve">At</w:t>
      </w:r>
      <w:r>
        <w:t xml:space="preserve"> </w:t>
      </w:r>
      <m:oMath>
        <m:r>
          <m:t>α</m:t>
        </m:r>
        <m:r>
          <m:rPr>
            <m:sty m:val="p"/>
          </m:rPr>
          <m:t>=</m:t>
        </m:r>
        <m:r>
          <m:t>0.05</m:t>
        </m:r>
      </m:oMath>
      <w:r>
        <w:t xml:space="preserve">, the p-value is below the significance threshold, so the null hypothesis of equivalent algorithm performance across these tasks is rejected under the test assumptions.</w:t>
      </w:r>
    </w:p>
    <w:p>
      <w:pPr>
        <w:pStyle w:val="BodyText"/>
      </w:pPr>
      <w:r>
        <w:rPr>
          <w:b/>
          <w:bCs/>
        </w:rPr>
        <w:t xml:space="preserve">Does the best average rank imply that RBF SVM wins every task?</w:t>
      </w:r>
    </w:p>
    <w:p>
      <w:pPr>
        <w:pStyle w:val="BodyText"/>
      </w:pPr>
      <w:r>
        <w:t xml:space="preserve">No. The rank table shows different winners and several ties. Average rank summarizes behavior across the collection. It is not a statement that one algorithm dominates every individual dataset.</w:t>
      </w:r>
    </w:p>
    <w:p>
      <w:pPr>
        <w:pStyle w:val="BodyText"/>
      </w:pPr>
      <w:r>
        <w:rPr>
          <w:b/>
          <w:bCs/>
        </w:rPr>
        <w:t xml:space="preserve">What does the omnibus result establish?</w:t>
      </w:r>
    </w:p>
    <w:p>
      <w:pPr>
        <w:pStyle w:val="BodyText"/>
      </w:pPr>
      <w:r>
        <w:t xml:space="preserve">The Friedman test provides evidence that the seven algorithms do not all behave equivalently across the ten tasks. It does not identify which particular pairs differ. A pairwise post-hoc analysis would be required to address that question, and these ten datasets still do not justify a claim of universal superiority.</w:t>
      </w:r>
    </w:p>
    <w:p>
      <w:pPr>
        <w:pStyle w:val="BlockText"/>
      </w:pPr>
      <w:r>
        <w:rPr>
          <w:b/>
          <w:bCs/>
        </w:rPr>
        <w:t xml:space="preserve">ML insight: one task and many tasks support different conclusions</w:t>
      </w:r>
    </w:p>
    <w:p>
      <w:pPr>
        <w:pStyle w:val="BlockText"/>
      </w:pPr>
      <w:r>
        <w:t xml:space="preserve">Within one dataset, cross-validation estimates predictive performance and its sensitivity to resampling. Across datasets, the analysis asks whether algorithms tend to rank differently over distinct learning problems. The latter supports conclusions about algorithm behaviour across tasks, not about one fitted model on one dataset.</w:t>
      </w:r>
    </w:p>
    <w:bookmarkEnd w:id="15"/>
    <w:sectPr>
      <w:pgMar w:bottom="1123" w:left="1238" w:right="123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before="0" w:line="254" w:lineRule="auto"/>
    </w:pPr>
    <w:rPr>
      <w:rFonts w:ascii="Arial" w:cs="Arial" w:eastAsia="Arial" w:hAnsi="Arial"/>
      <w:color w:val="20262D"/>
      <w:sz w:val="21"/>
      <w:lang w:val="en-GB"/>
    </w:rPr>
  </w:style>
  <w:style w:styleId="BodyText" w:type="paragraph">
    <w:name w:val="Body Text"/>
    <w:basedOn w:val="Normal"/>
    <w:link w:val="BodyTextChar"/>
    <w:qFormat/>
    <w:pPr>
      <w:spacing w:after="100" w:before="0" w:line="254" w:lineRule="auto"/>
    </w:pPr>
    <w:rPr>
      <w:rFonts w:ascii="Arial" w:cs="Arial" w:eastAsia="Arial" w:hAnsi="Arial"/>
      <w:color w:val="20262D"/>
      <w:sz w:val="21"/>
      <w:lang w:val="en-GB"/>
    </w:rPr>
  </w:style>
  <w:style w:customStyle="1" w:styleId="FirstParagraph" w:type="paragraph">
    <w:name w:val="First Paragraph"/>
    <w:basedOn w:val="BodyText"/>
    <w:next w:val="BodyText"/>
    <w:qFormat/>
    <w:pPr>
      <w:spacing w:after="100" w:before="0" w:line="254" w:lineRule="auto"/>
    </w:pPr>
    <w:rPr>
      <w:rFonts w:ascii="Arial" w:cs="Arial" w:eastAsia="Arial" w:hAnsi="Arial"/>
      <w:color w:val="20262D"/>
      <w:sz w:val="21"/>
      <w:lang w:val="en-GB"/>
    </w:rPr>
  </w:style>
  <w:style w:customStyle="1" w:styleId="Compact" w:type="paragraph">
    <w:name w:val="Compact"/>
    <w:basedOn w:val="BodyText"/>
    <w:qFormat/>
    <w:pPr>
      <w:spacing w:after="40" w:before="0" w:line="245" w:lineRule="auto"/>
    </w:pPr>
    <w:rPr>
      <w:rFonts w:ascii="Arial" w:cs="Arial" w:eastAsia="Arial" w:hAnsi="Arial"/>
      <w:color w:val="20262D"/>
      <w:sz w:val="20"/>
    </w:rPr>
  </w:style>
  <w:style w:styleId="Title" w:type="paragraph">
    <w:name w:val="Title"/>
    <w:basedOn w:val="Normal"/>
    <w:next w:val="BodyText"/>
    <w:qFormat/>
    <w:pPr>
      <w:keepNext/>
      <w:keepLines/>
      <w:spacing w:after="160" w:before="0" w:line="240" w:lineRule="auto"/>
      <w:jc w:val="center"/>
    </w:pPr>
    <w:rPr>
      <w:rFonts w:ascii="Arial" w:asciiTheme="majorHAnsi" w:cs="Arial" w:cstheme="majorBidi" w:eastAsia="Arial" w:eastAsiaTheme="majorEastAsia" w:hAnsi="Arial" w:hAnsiTheme="majorHAnsi"/>
      <w:b/>
      <w:bCs/>
      <w:color w:val="20262D"/>
      <w:sz w:val="42"/>
      <w:szCs w:val="36"/>
    </w:rPr>
  </w:style>
  <w:style w:styleId="Subtitle" w:type="paragraph">
    <w:name w:val="Subtitle"/>
    <w:basedOn w:val="Title"/>
    <w:next w:val="BodyText"/>
    <w:qFormat/>
    <w:pPr>
      <w:keepNext/>
      <w:keepLines/>
      <w:spacing w:after="160" w:before="0" w:line="240" w:lineRule="auto"/>
      <w:jc w:val="center"/>
    </w:pPr>
    <w:rPr>
      <w:rFonts w:ascii="Arial" w:cs="Arial" w:eastAsia="Arial" w:hAnsi="Arial"/>
      <w:color w:val="66717C"/>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line="240" w:lineRule="auto"/>
      <w:outlineLvl w:val="0"/>
    </w:pPr>
    <w:rPr>
      <w:rFonts w:ascii="Arial" w:asciiTheme="majorHAnsi" w:cs="Arial" w:cstheme="majorBidi" w:eastAsia="Arial" w:eastAsiaTheme="majorEastAsia" w:hAnsi="Arial" w:hAnsiTheme="majorHAnsi"/>
      <w:b/>
      <w:bCs/>
      <w:color w:val="20262D"/>
      <w:sz w:val="32"/>
      <w:szCs w:val="32"/>
    </w:rPr>
  </w:style>
  <w:style w:styleId="Heading2" w:type="paragraph">
    <w:name w:val="Heading 2"/>
    <w:basedOn w:val="Normal"/>
    <w:next w:val="BodyText"/>
    <w:uiPriority w:val="9"/>
    <w:unhideWhenUsed/>
    <w:qFormat/>
    <w:pPr>
      <w:keepNext/>
      <w:keepLines/>
      <w:spacing w:after="80" w:before="220" w:line="240" w:lineRule="auto"/>
      <w:outlineLvl w:val="1"/>
    </w:pPr>
    <w:rPr>
      <w:rFonts w:ascii="Arial" w:asciiTheme="majorHAnsi" w:cs="Arial" w:cstheme="majorBidi" w:eastAsia="Arial" w:eastAsiaTheme="majorEastAsia" w:hAnsi="Arial" w:hAnsiTheme="majorHAnsi"/>
      <w:b/>
      <w:bCs/>
      <w:color w:val="20262D"/>
      <w:sz w:val="26"/>
      <w:szCs w:val="28"/>
    </w:rPr>
  </w:style>
  <w:style w:styleId="Heading3" w:type="paragraph">
    <w:name w:val="Heading 3"/>
    <w:basedOn w:val="Normal"/>
    <w:next w:val="BodyText"/>
    <w:uiPriority w:val="9"/>
    <w:unhideWhenUsed/>
    <w:qFormat/>
    <w:pPr>
      <w:keepNext/>
      <w:keepLines/>
      <w:spacing w:after="60" w:before="180" w:line="240" w:lineRule="auto"/>
      <w:outlineLvl w:val="2"/>
    </w:pPr>
    <w:rPr>
      <w:rFonts w:ascii="Arial" w:asciiTheme="majorHAnsi" w:cs="Arial" w:cstheme="majorBidi" w:eastAsia="Arial" w:eastAsiaTheme="majorEastAsia" w:hAnsi="Arial" w:hAnsiTheme="majorHAnsi"/>
      <w:b/>
      <w:bCs/>
      <w:color w:val="20262D"/>
      <w:sz w:val="22"/>
      <w:szCs w:val="24"/>
    </w:rPr>
  </w:style>
  <w:style w:styleId="Heading4" w:type="paragraph">
    <w:name w:val="Heading 4"/>
    <w:basedOn w:val="Normal"/>
    <w:next w:val="BodyText"/>
    <w:uiPriority w:val="9"/>
    <w:unhideWhenUsed/>
    <w:qFormat/>
    <w:pPr>
      <w:keepNext/>
      <w:keepLines/>
      <w:spacing w:after="60" w:before="140" w:line="240" w:lineRule="auto"/>
      <w:outlineLvl w:val="3"/>
    </w:pPr>
    <w:rPr>
      <w:rFonts w:ascii="Arial" w:asciiTheme="majorHAnsi" w:cs="Arial" w:cstheme="majorBidi" w:eastAsia="Arial" w:eastAsiaTheme="majorEastAsia" w:hAnsi="Arial" w:hAnsiTheme="majorHAnsi"/>
      <w:b/>
      <w:bCs/>
      <w:i/>
      <w:color w:val="20262D"/>
      <w:sz w:val="21"/>
      <w:szCs w:val="24"/>
    </w:rPr>
  </w:style>
  <w:style w:styleId="Heading5" w:type="paragraph">
    <w:name w:val="Heading 5"/>
    <w:basedOn w:val="Normal"/>
    <w:next w:val="BodyText"/>
    <w:uiPriority w:val="9"/>
    <w:unhideWhenUsed/>
    <w:qFormat/>
    <w:pPr>
      <w:keepNext/>
      <w:keepLines/>
      <w:spacing w:after="60" w:before="140" w:line="240" w:lineRule="auto"/>
      <w:outlineLvl w:val="4"/>
    </w:pPr>
    <w:rPr>
      <w:rFonts w:ascii="Arial" w:asciiTheme="majorHAnsi" w:cs="Arial" w:cstheme="majorBidi" w:eastAsia="Arial" w:eastAsiaTheme="majorEastAsia" w:hAnsi="Arial" w:hAnsiTheme="majorHAnsi"/>
      <w:b/>
      <w:iCs/>
      <w:color w:val="20262D"/>
      <w:sz w:val="21"/>
      <w:szCs w:val="24"/>
    </w:rPr>
  </w:style>
  <w:style w:styleId="Heading6" w:type="paragraph">
    <w:name w:val="Heading 6"/>
    <w:basedOn w:val="Normal"/>
    <w:next w:val="BodyText"/>
    <w:uiPriority w:val="9"/>
    <w:unhideWhenUsed/>
    <w:qFormat/>
    <w:pPr>
      <w:keepNext/>
      <w:keepLines/>
      <w:spacing w:after="60" w:before="140" w:line="240" w:lineRule="auto"/>
      <w:outlineLvl w:val="5"/>
    </w:pPr>
    <w:rPr>
      <w:rFonts w:ascii="Arial" w:asciiTheme="majorHAnsi" w:cs="Arial" w:cstheme="majorBidi" w:eastAsia="Arial" w:eastAsiaTheme="majorEastAsia" w:hAnsi="Arial" w:hAnsiTheme="majorHAnsi"/>
      <w:b/>
      <w:color w:val="20262D"/>
      <w:sz w:val="21"/>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00" w:line="250" w:lineRule="auto"/>
      <w:ind w:firstLine="0" w:left="317" w:right="115"/>
      <w:shd w:fill="F4F7F9"/>
      <w:pBdr>
        <w:left w:color="315A7D" w:space="7" w:sz="18" w:val="single"/>
      </w:pBdr>
    </w:pPr>
    <w:rPr>
      <w:rFonts w:ascii="Arial" w:cs="Arial" w:eastAsia="Arial" w:hAnsi="Arial"/>
      <w:color w:val="20262D"/>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20262D"/>
      <w:sz w:val="19"/>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40" w:before="40" w:line="240" w:lineRule="auto"/>
    </w:pPr>
    <w:rPr>
      <w:rFonts w:ascii="Arial" w:cs="Arial" w:eastAsia="Arial" w:hAnsi="Arial"/>
      <w:i/>
      <w:color w:val="66717C"/>
      <w:sz w:val="18"/>
    </w:rPr>
  </w:style>
  <w:style w:customStyle="1" w:styleId="TableCaption" w:type="paragraph">
    <w:name w:val="Table Caption"/>
    <w:basedOn w:val="Caption"/>
    <w:pPr>
      <w:keepNext/>
      <w:spacing w:after="140" w:before="40" w:line="240" w:lineRule="auto"/>
    </w:pPr>
    <w:rPr>
      <w:rFonts w:ascii="Arial" w:cs="Arial" w:eastAsia="Arial" w:hAnsi="Arial"/>
      <w:color w:val="66717C"/>
      <w:sz w:val="18"/>
    </w:rPr>
  </w:style>
  <w:style w:customStyle="1" w:styleId="ImageCaption" w:type="paragraph">
    <w:name w:val="Image Caption"/>
    <w:basedOn w:val="Caption"/>
    <w:pPr>
      <w:spacing w:after="140" w:before="40" w:line="240" w:lineRule="auto"/>
    </w:pPr>
    <w:rPr>
      <w:rFonts w:ascii="Arial" w:cs="Arial" w:eastAsia="Arial" w:hAnsi="Arial"/>
      <w:color w:val="66717C"/>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I: Hands-On 6: Worked Solutions</dc:title>
  <dc:creator/>
  <cp:keywords/>
  <dcterms:created xsi:type="dcterms:W3CDTF">2026-10-03T15:53:31Z</dcterms:created>
  <dcterms:modified xsi:type="dcterms:W3CDTF">2026-10-03T15:53:31Z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andout-image-scale">
    <vt:lpwstr>0.85</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