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 — Hands-On 10</w:t>
      </w:r>
    </w:p>
    <w:bookmarkStart w:id="9" w:name="from-transactions-to-itemsets"/>
    <w:p>
      <w:pPr>
        <w:pStyle w:val="Heading1"/>
      </w:pPr>
      <w:r>
        <w:t xml:space="preserve">10.1 From transactions to itemsets ✎</w:t>
      </w:r>
    </w:p>
    <w:p>
      <w:pPr>
        <w:pStyle w:val="FirstParagraph"/>
      </w:pPr>
      <w:r>
        <w:t xml:space="preserve">In association rule mining, the data are often represented as a set of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. Each transaction contains a set of items. For example, in market basket analysis, each transaction corresponds to one customer purchase, and the items correspond to the products bought together.</w:t>
      </w:r>
    </w:p>
    <w:p>
      <w:pPr>
        <w:pStyle w:val="BodyText"/>
      </w:pPr>
      <w:r>
        <w:t xml:space="preserve">Consider the following set of supermarket transactions.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bought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Milk, 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Milk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Eggs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Milk, 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Milk, Butter, Eggs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Milk, Eggs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Milk, 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Milk, Coffee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Coffee, Eggs</w:t>
            </w:r>
          </w:p>
        </w:tc>
      </w:tr>
    </w:tbl>
    <w:p>
      <w:pPr>
        <w:pStyle w:val="BodyText"/>
      </w:pPr>
      <w:r>
        <w:t xml:space="preserve">Use this transaction dataset to compute itemset supports.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an itemset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proportion of transactions that contain all items in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support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⊆</m:t>
              </m:r>
              <m:r>
                <m:t>t</m:t>
              </m:r>
              <m:r>
                <m:rPr>
                  <m:sty m:val="p"/>
                </m:rPr>
                <m:t>}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t xml:space="preserve">Compute the support of the following itemsets: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Eggs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Coffee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support of the following itemsets:</w:t>
      </w:r>
    </w:p>
    <w:p>
      <w:pPr>
        <w:pStyle w:val="Compact"/>
        <w:numPr>
          <w:ilvl w:val="1"/>
          <w:numId w:val="1003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,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3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,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3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Milk</m:t>
        </m:r>
        <m:r>
          <m:rPr>
            <m:sty m:val="p"/>
          </m:rPr>
          <m:t>,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3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,</m:t>
        </m:r>
        <m:r>
          <m:rPr>
            <m:nor/>
            <m:sty m:val="p"/>
          </m:rPr>
          <m:t>Milk</m:t>
        </m:r>
        <m:r>
          <m:rPr>
            <m:sty m:val="p"/>
          </m:rPr>
          <m:t>,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1"/>
          <w:numId w:val="1003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Coffee</m:t>
        </m:r>
        <m:r>
          <m:rPr>
            <m:sty m:val="p"/>
          </m:rPr>
          <m:t>,</m:t>
        </m:r>
        <m:r>
          <m:rPr>
            <m:nor/>
            <m:sty m:val="p"/>
          </m:rPr>
          <m:t>Eggs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Assume a minimum support threshold of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minsup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Identify which itemsets from Questions 1 and 2 are</w:t>
      </w:r>
      <w:r>
        <w:t xml:space="preserve"> </w:t>
      </w:r>
      <w:r>
        <w:rPr>
          <w:b/>
          <w:bCs/>
        </w:rPr>
        <w:t xml:space="preserve">frequent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Explain why support measures the frequency of an itemset, but does not by itself describe the strength of an implication such as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>
              <m:nor/>
              <m:sty m:val="p"/>
            </m:rPr>
            <m:t>Bread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Milk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9"/>
    <w:bookmarkStart w:id="10" w:name="from-itemsets-to-association-rules"/>
    <w:p>
      <w:pPr>
        <w:pStyle w:val="Heading1"/>
      </w:pPr>
      <w:r>
        <w:t xml:space="preserve">10.2 From itemsets to association rules ✎</w:t>
      </w:r>
    </w:p>
    <w:p>
      <w:pPr>
        <w:pStyle w:val="FirstParagraph"/>
      </w:pPr>
      <w:r>
        <w:t xml:space="preserve">Frequent itemsets can be used to construct</w:t>
      </w:r>
      <w:r>
        <w:t xml:space="preserve"> </w:t>
      </w:r>
      <w:r>
        <w:rPr>
          <w:b/>
          <w:bCs/>
        </w:rPr>
        <w:t xml:space="preserve">association rules</w:t>
      </w:r>
      <w:r>
        <w:t xml:space="preserve">. An association rule has the form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∩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⌀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antecedent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consequent.</w:t>
      </w:r>
    </w:p>
    <w:p>
      <w:pPr>
        <w:pStyle w:val="BodyText"/>
      </w:pPr>
      <w:r>
        <w:t xml:space="preserve">The support of a rule is the support of the union of the antecedent and consequent: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support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support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∪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of a rule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confidence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support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∪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support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Confidence measures the proportion of transactions containing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also contain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Using the transaction dataset from Exercise 10.1, compute the support and confidence of the following rules.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,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Butter</m:t>
        </m:r>
        <m:r>
          <m:rPr>
            <m:sty m:val="p"/>
          </m:rPr>
          <m:t>}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{</m:t>
        </m:r>
        <m:r>
          <m:rPr>
            <m:nor/>
            <m:sty m:val="p"/>
          </m:rPr>
          <m:t>Coffee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Eggs</m:t>
        </m:r>
        <m:r>
          <m:rPr>
            <m:sty m:val="p"/>
          </m:rPr>
          <m:t>}</m:t>
        </m:r>
      </m:oMath>
      <w:r>
        <w:t xml:space="preserve">​</w:t>
      </w:r>
    </w:p>
    <w:p>
      <w:pPr>
        <w:numPr>
          <w:ilvl w:val="0"/>
          <w:numId w:val="1005"/>
        </w:numPr>
      </w:pPr>
      <w:r>
        <w:t xml:space="preserve">Compare the following two rules: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>
              <m:nor/>
              <m:sty m:val="p"/>
            </m:rPr>
            <m:t>Bread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Milk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Milk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Bread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Do they have the same support? Do they have the same confidence? Explain why.</w:t>
      </w:r>
    </w:p>
    <w:bookmarkEnd w:id="10"/>
    <w:bookmarkStart w:id="11" w:name="Xff8ff48c60188feb66c33cce805e75f3cb7c8bd"/>
    <w:p>
      <w:pPr>
        <w:pStyle w:val="Heading1"/>
      </w:pPr>
      <w:r>
        <w:t xml:space="preserve">10.3 Selecting rules using support and confidence ✎</w:t>
      </w:r>
    </w:p>
    <w:p>
      <w:pPr>
        <w:pStyle w:val="FirstParagraph"/>
      </w:pPr>
      <w:r>
        <w:t xml:space="preserve">An association-rule mining task usually defines a minimum support and a minimum confidence. The goal is to find rules satisfying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thresholds: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support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minsup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confidence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minconf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corresponds to the usual problem definition: given a transaction dataset, a minimum support, and a minimum confidence, obtain all rules that satisfy both conditions.</w:t>
      </w:r>
    </w:p>
    <w:p>
      <w:pPr>
        <w:pStyle w:val="BodyText"/>
      </w:pPr>
      <w:r>
        <w:t xml:space="preserve">Consider the thresholds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minsup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minconf</m:t>
          </m:r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Use the rules from Exercise 10.2.</w:t>
      </w:r>
    </w:p>
    <w:p>
      <w:pPr>
        <w:numPr>
          <w:ilvl w:val="0"/>
          <w:numId w:val="1007"/>
        </w:numPr>
      </w:pPr>
      <w:r>
        <w:t xml:space="preserve">For each rule, decide whether it satisfies the minimum support threshold.</w:t>
      </w:r>
    </w:p>
    <w:p>
      <w:pPr>
        <w:numPr>
          <w:ilvl w:val="0"/>
          <w:numId w:val="1007"/>
        </w:numPr>
      </w:pPr>
      <w:r>
        <w:t xml:space="preserve">For each rule, decide whether it satisfies the minimum confidence threshold.</w:t>
      </w:r>
    </w:p>
    <w:p>
      <w:pPr>
        <w:numPr>
          <w:ilvl w:val="0"/>
          <w:numId w:val="1007"/>
        </w:numPr>
      </w:pPr>
      <w:r>
        <w:t xml:space="preserve">Identify which rules are valid association rules under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thresholds.</w:t>
      </w:r>
    </w:p>
    <w:p>
      <w:pPr>
        <w:numPr>
          <w:ilvl w:val="0"/>
          <w:numId w:val="1007"/>
        </w:numPr>
      </w:pPr>
      <w:r>
        <w:t xml:space="preserve">Suppose we increase the minimum confidence threshold to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minconf</m:t>
          </m:r>
          <m:r>
            <m:rPr>
              <m:sty m:val="p"/>
            </m:rPr>
            <m:t>=</m:t>
          </m:r>
          <m:r>
            <m:t>90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Which rules remain valid?</w:t>
      </w:r>
    </w:p>
    <w:p>
      <w:pPr>
        <w:pStyle w:val="Compact"/>
        <w:numPr>
          <w:ilvl w:val="0"/>
          <w:numId w:val="1008"/>
        </w:numPr>
      </w:pPr>
      <w:r>
        <w:t xml:space="preserve">Explain what happens when the minimum confidence threshold becomes stricter.</w:t>
      </w:r>
    </w:p>
    <w:bookmarkEnd w:id="11"/>
    <w:bookmarkStart w:id="12" w:name="why-confidence-can-be-misleading"/>
    <w:p>
      <w:pPr>
        <w:pStyle w:val="Heading1"/>
      </w:pPr>
      <w:r>
        <w:t xml:space="preserve">10.4 Why confidence can be misleading ✎</w:t>
      </w:r>
    </w:p>
    <w:p>
      <w:pPr>
        <w:pStyle w:val="FirstParagraph"/>
      </w:pPr>
      <w:r>
        <w:t xml:space="preserve">A high-confidence rule is not always interesting. A rule may have high confidence simply because the consequent is already very common.</w:t>
      </w:r>
    </w:p>
    <w:p>
      <w:pPr>
        <w:pStyle w:val="BodyText"/>
      </w:pPr>
      <w:r>
        <w:t xml:space="preserve">To evaluate whether a rule is more informative than expected, we can use</w:t>
      </w:r>
      <w:r>
        <w:t xml:space="preserve"> </w:t>
      </w:r>
      <w:r>
        <w:rPr>
          <w:b/>
          <w:bCs/>
        </w:rPr>
        <w:t xml:space="preserve">lift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lift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confidence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support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lift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occur together more often than expected under independence.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lift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approximately independent.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lift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occur together less often than expected under independence.</w:t>
      </w:r>
    </w:p>
    <w:p>
      <w:pPr>
        <w:pStyle w:val="FirstParagraph"/>
      </w:pPr>
      <w:r>
        <w:t xml:space="preserve">Using the transaction dataset from Exercise 10.1:</w:t>
      </w:r>
    </w:p>
    <w:p>
      <w:pPr>
        <w:numPr>
          <w:ilvl w:val="0"/>
          <w:numId w:val="1010"/>
        </w:numPr>
      </w:pPr>
      <w:r>
        <w:t xml:space="preserve">Compute the lift of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Compute the lift of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Milk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Bread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Compute the lift of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Coffee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Eggs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Compute the lift of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Eggs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nor/>
            <m:sty m:val="p"/>
          </m:rPr>
          <m:t>Coffee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For each rule, state whether the association is positive, approximately independent, or negative.</w:t>
      </w:r>
    </w:p>
    <w:p>
      <w:pPr>
        <w:numPr>
          <w:ilvl w:val="0"/>
          <w:numId w:val="1010"/>
        </w:numPr>
      </w:pPr>
      <w:r>
        <w:t xml:space="preserve">Based on support, confidence, and lift, which of the above rules would you consider the most interesting? Justify your answer. Your answer should make explicit</w:t>
      </w:r>
      <w:r>
        <w:t xml:space="preserve"> </w:t>
      </w:r>
      <w:r>
        <w:rPr>
          <w:b/>
          <w:bCs/>
        </w:rPr>
        <w:t xml:space="preserve">which notion of interestingness</w:t>
      </w:r>
      <w:r>
        <w:t xml:space="preserve"> </w:t>
      </w:r>
      <w:r>
        <w:t xml:space="preserve">you are prioritizing: frequency, reliability of implication, or departure from independence.</w:t>
      </w:r>
    </w:p>
    <w:bookmarkEnd w:id="12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 — Hands-On 10</dc:title>
  <dc:creator/>
  <cp:keywords/>
  <dcterms:created xsi:type="dcterms:W3CDTF">2026-10-03T15:54:04Z</dcterms:created>
  <dcterms:modified xsi:type="dcterms:W3CDTF">2026-10-03T15:54:04Z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