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Machine Learning I — Hands-On 10 — Worked Solutions</w:t>
      </w:r>
    </w:p>
    <w:bookmarkStart w:id="26" w:name="from-transactions-to-itemsets"/>
    <w:p>
      <w:pPr>
        <w:pStyle w:val="Heading1"/>
      </w:pPr>
      <w:r>
        <w:t xml:space="preserve">10.1 From transactions to itemsets ✎</w:t>
      </w:r>
    </w:p>
    <w:p>
      <w:pPr>
        <w:pStyle w:val="FirstParagraph"/>
      </w:pPr>
      <w:r>
        <w:t xml:space="preserve">In association rule mining, the data are represented as transactions containing sets of items. The exercise uses the following 10 transactions.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Transaction ID</w:t>
            </w:r>
          </w:p>
        </w:tc>
        <w:tc>
          <w:tcPr/>
          <w:p>
            <w:pPr>
              <w:pStyle w:val="Compact"/>
              <w:jc w:val="left"/>
            </w:pPr>
            <w:r>
              <w:t xml:space="preserve">Items bought</w:t>
            </w:r>
          </w:p>
        </w:tc>
      </w:tr>
      <w:tr>
        <w:tc>
          <w:tcPr/>
          <w:p>
            <w:pPr>
              <w:pStyle w:val="Compact"/>
              <w:jc w:val="left"/>
            </w:pPr>
            <w:r>
              <w:t xml:space="preserve">T1</w:t>
            </w:r>
          </w:p>
        </w:tc>
        <w:tc>
          <w:tcPr/>
          <w:p>
            <w:pPr>
              <w:pStyle w:val="Compact"/>
              <w:jc w:val="left"/>
            </w:pPr>
            <w:r>
              <w:t xml:space="preserve">Bread, Milk, Butter</w:t>
            </w:r>
          </w:p>
        </w:tc>
      </w:tr>
      <w:tr>
        <w:tc>
          <w:tcPr/>
          <w:p>
            <w:pPr>
              <w:pStyle w:val="Compact"/>
              <w:jc w:val="left"/>
            </w:pPr>
            <w:r>
              <w:t xml:space="preserve">T2</w:t>
            </w:r>
          </w:p>
        </w:tc>
        <w:tc>
          <w:tcPr/>
          <w:p>
            <w:pPr>
              <w:pStyle w:val="Compact"/>
              <w:jc w:val="left"/>
            </w:pPr>
            <w:r>
              <w:t xml:space="preserve">Bread, Milk</w:t>
            </w:r>
          </w:p>
        </w:tc>
      </w:tr>
      <w:tr>
        <w:tc>
          <w:tcPr/>
          <w:p>
            <w:pPr>
              <w:pStyle w:val="Compact"/>
              <w:jc w:val="left"/>
            </w:pPr>
            <w:r>
              <w:t xml:space="preserve">T3</w:t>
            </w:r>
          </w:p>
        </w:tc>
        <w:tc>
          <w:tcPr/>
          <w:p>
            <w:pPr>
              <w:pStyle w:val="Compact"/>
              <w:jc w:val="left"/>
            </w:pPr>
            <w:r>
              <w:t xml:space="preserve">Bread, Eggs</w:t>
            </w:r>
          </w:p>
        </w:tc>
      </w:tr>
      <w:tr>
        <w:tc>
          <w:tcPr/>
          <w:p>
            <w:pPr>
              <w:pStyle w:val="Compact"/>
              <w:jc w:val="left"/>
            </w:pPr>
            <w:r>
              <w:t xml:space="preserve">T4</w:t>
            </w:r>
          </w:p>
        </w:tc>
        <w:tc>
          <w:tcPr/>
          <w:p>
            <w:pPr>
              <w:pStyle w:val="Compact"/>
              <w:jc w:val="left"/>
            </w:pPr>
            <w:r>
              <w:t xml:space="preserve">Milk, Butter</w:t>
            </w:r>
          </w:p>
        </w:tc>
      </w:tr>
      <w:tr>
        <w:tc>
          <w:tcPr/>
          <w:p>
            <w:pPr>
              <w:pStyle w:val="Compact"/>
              <w:jc w:val="left"/>
            </w:pPr>
            <w:r>
              <w:t xml:space="preserve">T5</w:t>
            </w:r>
          </w:p>
        </w:tc>
        <w:tc>
          <w:tcPr/>
          <w:p>
            <w:pPr>
              <w:pStyle w:val="Compact"/>
              <w:jc w:val="left"/>
            </w:pPr>
            <w:r>
              <w:t xml:space="preserve">Bread, Milk, Butter, Eggs</w:t>
            </w:r>
          </w:p>
        </w:tc>
      </w:tr>
      <w:tr>
        <w:tc>
          <w:tcPr/>
          <w:p>
            <w:pPr>
              <w:pStyle w:val="Compact"/>
              <w:jc w:val="left"/>
            </w:pPr>
            <w:r>
              <w:t xml:space="preserve">T6</w:t>
            </w:r>
          </w:p>
        </w:tc>
        <w:tc>
          <w:tcPr/>
          <w:p>
            <w:pPr>
              <w:pStyle w:val="Compact"/>
              <w:jc w:val="left"/>
            </w:pPr>
            <w:r>
              <w:t xml:space="preserve">Bread, Butter</w:t>
            </w:r>
          </w:p>
        </w:tc>
      </w:tr>
      <w:tr>
        <w:tc>
          <w:tcPr/>
          <w:p>
            <w:pPr>
              <w:pStyle w:val="Compact"/>
              <w:jc w:val="left"/>
            </w:pPr>
            <w:r>
              <w:t xml:space="preserve">T7</w:t>
            </w:r>
          </w:p>
        </w:tc>
        <w:tc>
          <w:tcPr/>
          <w:p>
            <w:pPr>
              <w:pStyle w:val="Compact"/>
              <w:jc w:val="left"/>
            </w:pPr>
            <w:r>
              <w:t xml:space="preserve">Milk, Eggs</w:t>
            </w:r>
          </w:p>
        </w:tc>
      </w:tr>
      <w:tr>
        <w:tc>
          <w:tcPr/>
          <w:p>
            <w:pPr>
              <w:pStyle w:val="Compact"/>
              <w:jc w:val="left"/>
            </w:pPr>
            <w:r>
              <w:t xml:space="preserve">T8</w:t>
            </w:r>
          </w:p>
        </w:tc>
        <w:tc>
          <w:tcPr/>
          <w:p>
            <w:pPr>
              <w:pStyle w:val="Compact"/>
              <w:jc w:val="left"/>
            </w:pPr>
            <w:r>
              <w:t xml:space="preserve">Bread, Milk, Butter</w:t>
            </w:r>
          </w:p>
        </w:tc>
      </w:tr>
      <w:tr>
        <w:tc>
          <w:tcPr/>
          <w:p>
            <w:pPr>
              <w:pStyle w:val="Compact"/>
              <w:jc w:val="left"/>
            </w:pPr>
            <w:r>
              <w:t xml:space="preserve">T9</w:t>
            </w:r>
          </w:p>
        </w:tc>
        <w:tc>
          <w:tcPr/>
          <w:p>
            <w:pPr>
              <w:pStyle w:val="Compact"/>
              <w:jc w:val="left"/>
            </w:pPr>
            <w:r>
              <w:t xml:space="preserve">Bread, Milk, Coffee</w:t>
            </w:r>
          </w:p>
        </w:tc>
      </w:tr>
      <w:tr>
        <w:tc>
          <w:tcPr/>
          <w:p>
            <w:pPr>
              <w:pStyle w:val="Compact"/>
              <w:jc w:val="left"/>
            </w:pPr>
            <w:r>
              <w:t xml:space="preserve">T10</w:t>
            </w:r>
          </w:p>
        </w:tc>
        <w:tc>
          <w:tcPr/>
          <w:p>
            <w:pPr>
              <w:pStyle w:val="Compact"/>
              <w:jc w:val="left"/>
            </w:pPr>
            <w:r>
              <w:t xml:space="preserve">Coffee, Eggs</w:t>
            </w:r>
          </w:p>
        </w:tc>
      </w:tr>
    </w:tbl>
    <w:p>
      <w:pPr>
        <w:pStyle w:val="BodyText"/>
      </w:pPr>
      <w:r>
        <w:t xml:space="preserve">For</w:t>
      </w:r>
      <w:r>
        <w:t xml:space="preserve"> </w:t>
      </w:r>
      <m:oMath>
        <m:r>
          <m:t>N</m:t>
        </m:r>
        <m:r>
          <m:rPr>
            <m:sty m:val="p"/>
          </m:rPr>
          <m:t>=</m:t>
        </m:r>
        <m:r>
          <m:t>10</m:t>
        </m:r>
      </m:oMath>
      <w:r>
        <w:t xml:space="preserve"> </w:t>
      </w:r>
      <w:r>
        <w:t xml:space="preserve">transactions,</w:t>
      </w:r>
    </w:p>
    <w:p>
      <w:pPr>
        <w:pStyle w:val="BodyText"/>
      </w:pPr>
      <m:oMathPara>
        <m:oMathParaPr>
          <m:jc m:val="center"/>
        </m:oMathParaPr>
        <m:oMath>
          <m:r>
            <m:rPr>
              <m:sty m:val="p"/>
            </m:rPr>
            <m:t>support</m:t>
          </m:r>
          <m:r>
            <m:rPr>
              <m:sty m:val="p"/>
            </m:rPr>
            <m:t>(</m:t>
          </m:r>
          <m:r>
            <m:t>X</m:t>
          </m:r>
          <m:r>
            <m:rPr>
              <m:sty m:val="p"/>
            </m:rPr>
            <m:t>)</m:t>
          </m:r>
          <m:r>
            <m:rPr>
              <m:sty m:val="p"/>
            </m:rPr>
            <m:t>=</m:t>
          </m:r>
          <m:f>
            <m:fPr>
              <m:type m:val="bar"/>
            </m:fPr>
            <m:num>
              <m:r>
                <m:rPr>
                  <m:sty m:val="p"/>
                </m:rPr>
                <m:t>#</m:t>
              </m:r>
              <m:r>
                <m:rPr>
                  <m:sty m:val="p"/>
                </m:rPr>
                <m:t>{</m:t>
              </m:r>
              <m:r>
                <m:t>t</m:t>
              </m:r>
              <m:r>
                <m:rPr>
                  <m:sty m:val="p"/>
                </m:rPr>
                <m:t>:</m:t>
              </m:r>
              <m:r>
                <m:t>X</m:t>
              </m:r>
              <m:r>
                <m:rPr>
                  <m:sty m:val="p"/>
                </m:rPr>
                <m:t>⊆</m:t>
              </m:r>
              <m:r>
                <m:t>t</m:t>
              </m:r>
              <m:r>
                <m:rPr>
                  <m:sty m:val="p"/>
                </m:rPr>
                <m:t>}</m:t>
              </m:r>
            </m:num>
            <m:den>
              <m:r>
                <m:t>10</m:t>
              </m:r>
            </m:den>
          </m:f>
          <m:r>
            <m:rPr>
              <m:sty m:val="p"/>
            </m:rPr>
            <m:t>.</m:t>
          </m:r>
        </m:oMath>
      </m:oMathPara>
    </w:p>
    <w:bookmarkStart w:id="14" w:name="support-of-one-item-itemsets"/>
    <w:p>
      <w:pPr>
        <w:pStyle w:val="Heading2"/>
      </w:pPr>
      <w:r>
        <w:t xml:space="preserve">1. Support of one-item itemsets</w:t>
      </w:r>
    </w:p>
    <w:bookmarkStart w:id="9" w:name="bread"/>
    <w:p>
      <w:pPr>
        <w:pStyle w:val="Heading3"/>
      </w:pPr>
      <w:r>
        <w:t xml:space="preserve">Bread</w:t>
      </w:r>
    </w:p>
    <w:p>
      <w:pPr>
        <w:pStyle w:val="FirstParagraph"/>
      </w:pPr>
      <w:r>
        <w:t xml:space="preserve">Bread appears in T1, T2, T3, T5, T6, T8, and T9: 7 transactions.</w:t>
      </w:r>
    </w:p>
    <w:p>
      <w:pPr>
        <w:pStyle w:val="BodyText"/>
      </w:pPr>
      <m:oMathPara>
        <m:oMathParaPr>
          <m:jc m:val="center"/>
        </m:oMathParaPr>
        <m:oMath>
          <m:r>
            <m:rPr>
              <m:sty m:val="p"/>
            </m:rPr>
            <m:t>support</m:t>
          </m:r>
          <m:r>
            <m:rPr>
              <m:sty m:val="p"/>
            </m:rPr>
            <m:t>(</m:t>
          </m:r>
          <m:r>
            <m:rPr>
              <m:sty m:val="p"/>
            </m:rPr>
            <m:t>{</m:t>
          </m:r>
          <m:r>
            <m:rPr>
              <m:nor/>
              <m:sty m:val="p"/>
            </m:rPr>
            <m:t>Bread</m:t>
          </m:r>
          <m:r>
            <m:rPr>
              <m:sty m:val="p"/>
            </m:rPr>
            <m:t>}</m:t>
          </m:r>
          <m:r>
            <m:rPr>
              <m:sty m:val="p"/>
            </m:rPr>
            <m:t>)</m:t>
          </m:r>
          <m:r>
            <m:rPr>
              <m:sty m:val="p"/>
            </m:rPr>
            <m:t>=</m:t>
          </m:r>
          <m:f>
            <m:fPr>
              <m:type m:val="bar"/>
            </m:fPr>
            <m:num>
              <m:r>
                <m:t>7</m:t>
              </m:r>
            </m:num>
            <m:den>
              <m:r>
                <m:t>10</m:t>
              </m:r>
            </m:den>
          </m:f>
          <m:r>
            <m:rPr>
              <m:sty m:val="p"/>
            </m:rPr>
            <m:t>=</m:t>
          </m:r>
          <m:r>
            <m:t>0.70</m:t>
          </m:r>
          <m:r>
            <m:rPr>
              <m:sty m:val="p"/>
            </m:rPr>
            <m:t>=</m:t>
          </m:r>
          <m:r>
            <m:t>70</m:t>
          </m:r>
          <m:r>
            <m:rPr>
              <m:sty m:val="p"/>
            </m:rPr>
            <m:t>%</m:t>
          </m:r>
          <m:r>
            <m:rPr>
              <m:sty m:val="p"/>
            </m:rPr>
            <m:t>.</m:t>
          </m:r>
        </m:oMath>
      </m:oMathPara>
    </w:p>
    <w:bookmarkEnd w:id="9"/>
    <w:bookmarkStart w:id="10" w:name="milk"/>
    <w:p>
      <w:pPr>
        <w:pStyle w:val="Heading3"/>
      </w:pPr>
      <w:r>
        <w:t xml:space="preserve">Milk</w:t>
      </w:r>
    </w:p>
    <w:p>
      <w:pPr>
        <w:pStyle w:val="FirstParagraph"/>
      </w:pPr>
      <w:r>
        <w:t xml:space="preserve">Milk appears in T1, T2, T4, T5, T7, T8, and T9: 7 transactions.</w:t>
      </w:r>
    </w:p>
    <w:p>
      <w:pPr>
        <w:pStyle w:val="BodyText"/>
      </w:pPr>
      <m:oMathPara>
        <m:oMathParaPr>
          <m:jc m:val="center"/>
        </m:oMathParaPr>
        <m:oMath>
          <m:r>
            <m:rPr>
              <m:sty m:val="p"/>
            </m:rPr>
            <m:t>support</m:t>
          </m:r>
          <m:r>
            <m:rPr>
              <m:sty m:val="p"/>
            </m:rPr>
            <m:t>(</m:t>
          </m:r>
          <m:r>
            <m:rPr>
              <m:sty m:val="p"/>
            </m:rPr>
            <m:t>{</m:t>
          </m:r>
          <m:r>
            <m:rPr>
              <m:nor/>
              <m:sty m:val="p"/>
            </m:rPr>
            <m:t>Milk</m:t>
          </m:r>
          <m:r>
            <m:rPr>
              <m:sty m:val="p"/>
            </m:rPr>
            <m:t>}</m:t>
          </m:r>
          <m:r>
            <m:rPr>
              <m:sty m:val="p"/>
            </m:rPr>
            <m:t>)</m:t>
          </m:r>
          <m:r>
            <m:rPr>
              <m:sty m:val="p"/>
            </m:rPr>
            <m:t>=</m:t>
          </m:r>
          <m:f>
            <m:fPr>
              <m:type m:val="bar"/>
            </m:fPr>
            <m:num>
              <m:r>
                <m:t>7</m:t>
              </m:r>
            </m:num>
            <m:den>
              <m:r>
                <m:t>10</m:t>
              </m:r>
            </m:den>
          </m:f>
          <m:r>
            <m:rPr>
              <m:sty m:val="p"/>
            </m:rPr>
            <m:t>=</m:t>
          </m:r>
          <m:r>
            <m:t>70</m:t>
          </m:r>
          <m:r>
            <m:rPr>
              <m:sty m:val="p"/>
            </m:rPr>
            <m:t>%</m:t>
          </m:r>
          <m:r>
            <m:rPr>
              <m:sty m:val="p"/>
            </m:rPr>
            <m:t>.</m:t>
          </m:r>
        </m:oMath>
      </m:oMathPara>
    </w:p>
    <w:bookmarkEnd w:id="10"/>
    <w:bookmarkStart w:id="11" w:name="butter"/>
    <w:p>
      <w:pPr>
        <w:pStyle w:val="Heading3"/>
      </w:pPr>
      <w:r>
        <w:t xml:space="preserve">Butter</w:t>
      </w:r>
    </w:p>
    <w:p>
      <w:pPr>
        <w:pStyle w:val="FirstParagraph"/>
      </w:pPr>
      <w:r>
        <w:t xml:space="preserve">Butter appears in T1, T4, T5, T6, and T8: 5 transactions.</w:t>
      </w:r>
    </w:p>
    <w:p>
      <w:pPr>
        <w:pStyle w:val="BodyText"/>
      </w:pPr>
      <m:oMathPara>
        <m:oMathParaPr>
          <m:jc m:val="center"/>
        </m:oMathParaPr>
        <m:oMath>
          <m:r>
            <m:rPr>
              <m:sty m:val="p"/>
            </m:rPr>
            <m:t>support</m:t>
          </m:r>
          <m:r>
            <m:rPr>
              <m:sty m:val="p"/>
            </m:rPr>
            <m:t>(</m:t>
          </m:r>
          <m:r>
            <m:rPr>
              <m:sty m:val="p"/>
            </m:rPr>
            <m:t>{</m:t>
          </m:r>
          <m:r>
            <m:rPr>
              <m:nor/>
              <m:sty m:val="p"/>
            </m:rPr>
            <m:t>Butter</m:t>
          </m:r>
          <m:r>
            <m:rPr>
              <m:sty m:val="p"/>
            </m:rPr>
            <m:t>}</m:t>
          </m:r>
          <m:r>
            <m:rPr>
              <m:sty m:val="p"/>
            </m:rPr>
            <m:t>)</m:t>
          </m:r>
          <m:r>
            <m:rPr>
              <m:sty m:val="p"/>
            </m:rPr>
            <m:t>=</m:t>
          </m:r>
          <m:f>
            <m:fPr>
              <m:type m:val="bar"/>
            </m:fPr>
            <m:num>
              <m:r>
                <m:t>5</m:t>
              </m:r>
            </m:num>
            <m:den>
              <m:r>
                <m:t>10</m:t>
              </m:r>
            </m:den>
          </m:f>
          <m:r>
            <m:rPr>
              <m:sty m:val="p"/>
            </m:rPr>
            <m:t>=</m:t>
          </m:r>
          <m:r>
            <m:t>50</m:t>
          </m:r>
          <m:r>
            <m:rPr>
              <m:sty m:val="p"/>
            </m:rPr>
            <m:t>%</m:t>
          </m:r>
          <m:r>
            <m:rPr>
              <m:sty m:val="p"/>
            </m:rPr>
            <m:t>.</m:t>
          </m:r>
        </m:oMath>
      </m:oMathPara>
    </w:p>
    <w:bookmarkEnd w:id="11"/>
    <w:bookmarkStart w:id="12" w:name="eggs"/>
    <w:p>
      <w:pPr>
        <w:pStyle w:val="Heading3"/>
      </w:pPr>
      <w:r>
        <w:t xml:space="preserve">Eggs</w:t>
      </w:r>
    </w:p>
    <w:p>
      <w:pPr>
        <w:pStyle w:val="FirstParagraph"/>
      </w:pPr>
      <w:r>
        <w:t xml:space="preserve">Eggs appears in T3, T5, T7, and T10: 4 transactions.</w:t>
      </w:r>
    </w:p>
    <w:p>
      <w:pPr>
        <w:pStyle w:val="BodyText"/>
      </w:pPr>
      <m:oMathPara>
        <m:oMathParaPr>
          <m:jc m:val="center"/>
        </m:oMathParaPr>
        <m:oMath>
          <m:r>
            <m:rPr>
              <m:sty m:val="p"/>
            </m:rPr>
            <m:t>support</m:t>
          </m:r>
          <m:r>
            <m:rPr>
              <m:sty m:val="p"/>
            </m:rPr>
            <m:t>(</m:t>
          </m:r>
          <m:r>
            <m:rPr>
              <m:sty m:val="p"/>
            </m:rPr>
            <m:t>{</m:t>
          </m:r>
          <m:r>
            <m:rPr>
              <m:nor/>
              <m:sty m:val="p"/>
            </m:rPr>
            <m:t>Eggs</m:t>
          </m:r>
          <m:r>
            <m:rPr>
              <m:sty m:val="p"/>
            </m:rPr>
            <m:t>}</m:t>
          </m:r>
          <m:r>
            <m:rPr>
              <m:sty m:val="p"/>
            </m:rPr>
            <m:t>)</m:t>
          </m:r>
          <m:r>
            <m:rPr>
              <m:sty m:val="p"/>
            </m:rPr>
            <m:t>=</m:t>
          </m:r>
          <m:f>
            <m:fPr>
              <m:type m:val="bar"/>
            </m:fPr>
            <m:num>
              <m:r>
                <m:t>4</m:t>
              </m:r>
            </m:num>
            <m:den>
              <m:r>
                <m:t>10</m:t>
              </m:r>
            </m:den>
          </m:f>
          <m:r>
            <m:rPr>
              <m:sty m:val="p"/>
            </m:rPr>
            <m:t>=</m:t>
          </m:r>
          <m:r>
            <m:t>40</m:t>
          </m:r>
          <m:r>
            <m:rPr>
              <m:sty m:val="p"/>
            </m:rPr>
            <m:t>%</m:t>
          </m:r>
          <m:r>
            <m:rPr>
              <m:sty m:val="p"/>
            </m:rPr>
            <m:t>.</m:t>
          </m:r>
        </m:oMath>
      </m:oMathPara>
    </w:p>
    <w:bookmarkEnd w:id="12"/>
    <w:bookmarkStart w:id="13" w:name="coffee"/>
    <w:p>
      <w:pPr>
        <w:pStyle w:val="Heading3"/>
      </w:pPr>
      <w:r>
        <w:t xml:space="preserve">Coffee</w:t>
      </w:r>
    </w:p>
    <w:p>
      <w:pPr>
        <w:pStyle w:val="FirstParagraph"/>
      </w:pPr>
      <w:r>
        <w:t xml:space="preserve">Coffee appears in T9 and T10: 2 transactions.</w:t>
      </w:r>
    </w:p>
    <w:p>
      <w:pPr>
        <w:pStyle w:val="BodyText"/>
      </w:pPr>
      <m:oMathPara>
        <m:oMathParaPr>
          <m:jc m:val="center"/>
        </m:oMathParaPr>
        <m:oMath>
          <m:r>
            <m:rPr>
              <m:sty m:val="p"/>
            </m:rPr>
            <m:t>support</m:t>
          </m:r>
          <m:r>
            <m:rPr>
              <m:sty m:val="p"/>
            </m:rPr>
            <m:t>(</m:t>
          </m:r>
          <m:r>
            <m:rPr>
              <m:sty m:val="p"/>
            </m:rPr>
            <m:t>{</m:t>
          </m:r>
          <m:r>
            <m:rPr>
              <m:nor/>
              <m:sty m:val="p"/>
            </m:rPr>
            <m:t>Coffee</m:t>
          </m:r>
          <m:r>
            <m:rPr>
              <m:sty m:val="p"/>
            </m:rPr>
            <m:t>}</m:t>
          </m:r>
          <m:r>
            <m:rPr>
              <m:sty m:val="p"/>
            </m:rPr>
            <m:t>)</m:t>
          </m:r>
          <m:r>
            <m:rPr>
              <m:sty m:val="p"/>
            </m:rPr>
            <m:t>=</m:t>
          </m:r>
          <m:f>
            <m:fPr>
              <m:type m:val="bar"/>
            </m:fPr>
            <m:num>
              <m:r>
                <m:t>2</m:t>
              </m:r>
            </m:num>
            <m:den>
              <m:r>
                <m:t>10</m:t>
              </m:r>
            </m:den>
          </m:f>
          <m:r>
            <m:rPr>
              <m:sty m:val="p"/>
            </m:rPr>
            <m:t>=</m:t>
          </m:r>
          <m:r>
            <m:t>20</m:t>
          </m:r>
          <m:r>
            <m:rPr>
              <m:sty m:val="p"/>
            </m:rPr>
            <m:t>%</m:t>
          </m:r>
          <m:r>
            <m:rPr>
              <m:sty m:val="p"/>
            </m:rPr>
            <m:t>.</m:t>
          </m:r>
        </m:oMath>
      </m:oMathPara>
    </w:p>
    <w:p>
      <w:pPr>
        <w:pStyle w:val="FirstParagraph"/>
      </w:pPr>
      <w:r>
        <w:t xml:space="preserve">The one-item results are therefore: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Itemset</w:t>
            </w:r>
          </w:p>
        </w:tc>
        <w:tc>
          <w:tcPr/>
          <w:p>
            <w:pPr>
              <w:pStyle w:val="Compact"/>
              <w:jc w:val="right"/>
            </w:pPr>
            <w:r>
              <w:t xml:space="preserve">Count</w:t>
            </w:r>
          </w:p>
        </w:tc>
        <w:tc>
          <w:tcPr/>
          <w:p>
            <w:pPr>
              <w:pStyle w:val="Compact"/>
              <w:jc w:val="right"/>
            </w:pPr>
            <w:r>
              <w:t xml:space="preserve">Support</w:t>
            </w:r>
          </w:p>
        </w:tc>
      </w:tr>
      <w:tr>
        <w:tc>
          <w:tcPr/>
          <w:p>
            <w:pPr>
              <w:pStyle w:val="Compact"/>
              <w:jc w:val="left"/>
            </w:pPr>
            <w:r>
              <w:t xml:space="preserve">{Bread}</w:t>
            </w:r>
          </w:p>
        </w:tc>
        <w:tc>
          <w:tcPr/>
          <w:p>
            <w:pPr>
              <w:pStyle w:val="Compact"/>
              <w:jc w:val="right"/>
            </w:pPr>
            <w:r>
              <w:t xml:space="preserve">7</w:t>
            </w:r>
          </w:p>
        </w:tc>
        <w:tc>
          <w:tcPr/>
          <w:p>
            <w:pPr>
              <w:pStyle w:val="Compact"/>
              <w:jc w:val="right"/>
            </w:pPr>
            <w:r>
              <w:t xml:space="preserve">70%</w:t>
            </w:r>
          </w:p>
        </w:tc>
      </w:tr>
      <w:tr>
        <w:tc>
          <w:tcPr/>
          <w:p>
            <w:pPr>
              <w:pStyle w:val="Compact"/>
              <w:jc w:val="left"/>
            </w:pPr>
            <w:r>
              <w:t xml:space="preserve">{Milk}</w:t>
            </w:r>
          </w:p>
        </w:tc>
        <w:tc>
          <w:tcPr/>
          <w:p>
            <w:pPr>
              <w:pStyle w:val="Compact"/>
              <w:jc w:val="right"/>
            </w:pPr>
            <w:r>
              <w:t xml:space="preserve">7</w:t>
            </w:r>
          </w:p>
        </w:tc>
        <w:tc>
          <w:tcPr/>
          <w:p>
            <w:pPr>
              <w:pStyle w:val="Compact"/>
              <w:jc w:val="right"/>
            </w:pPr>
            <w:r>
              <w:t xml:space="preserve">70%</w:t>
            </w:r>
          </w:p>
        </w:tc>
      </w:tr>
      <w:tr>
        <w:tc>
          <w:tcPr/>
          <w:p>
            <w:pPr>
              <w:pStyle w:val="Compact"/>
              <w:jc w:val="left"/>
            </w:pPr>
            <w:r>
              <w:t xml:space="preserve">{Butter}</w:t>
            </w:r>
          </w:p>
        </w:tc>
        <w:tc>
          <w:tcPr/>
          <w:p>
            <w:pPr>
              <w:pStyle w:val="Compact"/>
              <w:jc w:val="right"/>
            </w:pPr>
            <w:r>
              <w:t xml:space="preserve">5</w:t>
            </w:r>
          </w:p>
        </w:tc>
        <w:tc>
          <w:tcPr/>
          <w:p>
            <w:pPr>
              <w:pStyle w:val="Compact"/>
              <w:jc w:val="right"/>
            </w:pPr>
            <w:r>
              <w:t xml:space="preserve">50%</w:t>
            </w:r>
          </w:p>
        </w:tc>
      </w:tr>
      <w:tr>
        <w:tc>
          <w:tcPr/>
          <w:p>
            <w:pPr>
              <w:pStyle w:val="Compact"/>
              <w:jc w:val="left"/>
            </w:pPr>
            <w:r>
              <w:t xml:space="preserve">{Eggs}</w:t>
            </w:r>
          </w:p>
        </w:tc>
        <w:tc>
          <w:tcPr/>
          <w:p>
            <w:pPr>
              <w:pStyle w:val="Compact"/>
              <w:jc w:val="right"/>
            </w:pPr>
            <w:r>
              <w:t xml:space="preserve">4</w:t>
            </w:r>
          </w:p>
        </w:tc>
        <w:tc>
          <w:tcPr/>
          <w:p>
            <w:pPr>
              <w:pStyle w:val="Compact"/>
              <w:jc w:val="right"/>
            </w:pPr>
            <w:r>
              <w:t xml:space="preserve">40%</w:t>
            </w:r>
          </w:p>
        </w:tc>
      </w:tr>
      <w:tr>
        <w:tc>
          <w:tcPr/>
          <w:p>
            <w:pPr>
              <w:pStyle w:val="Compact"/>
              <w:jc w:val="left"/>
            </w:pPr>
            <w:r>
              <w:t xml:space="preserve">{Coffee}</w:t>
            </w:r>
          </w:p>
        </w:tc>
        <w:tc>
          <w:tcPr/>
          <w:p>
            <w:pPr>
              <w:pStyle w:val="Compact"/>
              <w:jc w:val="right"/>
            </w:pPr>
            <w:r>
              <w:t xml:space="preserve">2</w:t>
            </w:r>
          </w:p>
        </w:tc>
        <w:tc>
          <w:tcPr/>
          <w:p>
            <w:pPr>
              <w:pStyle w:val="Compact"/>
              <w:jc w:val="right"/>
            </w:pPr>
            <w:r>
              <w:t xml:space="preserve">20%</w:t>
            </w:r>
          </w:p>
        </w:tc>
      </w:tr>
    </w:tbl>
    <w:bookmarkEnd w:id="13"/>
    <w:bookmarkEnd w:id="14"/>
    <w:bookmarkStart w:id="20" w:name="support-of-larger-itemsets"/>
    <w:p>
      <w:pPr>
        <w:pStyle w:val="Heading2"/>
      </w:pPr>
      <w:r>
        <w:t xml:space="preserve">2. Support of larger itemsets</w:t>
      </w:r>
    </w:p>
    <w:bookmarkStart w:id="15" w:name="bread-and-milk"/>
    <w:p>
      <w:pPr>
        <w:pStyle w:val="Heading3"/>
      </w:pPr>
      <w:r>
        <w:t xml:space="preserve">Bread and Milk</w:t>
      </w:r>
    </w:p>
    <w:p>
      <w:pPr>
        <w:pStyle w:val="FirstParagraph"/>
      </w:pPr>
      <w:r>
        <w:t xml:space="preserve">Both items occur together in T1, T2, T5, T8, and T9: 5 transactions.</w:t>
      </w:r>
    </w:p>
    <w:p>
      <w:pPr>
        <w:pStyle w:val="BodyText"/>
      </w:pPr>
      <m:oMathPara>
        <m:oMathParaPr>
          <m:jc m:val="center"/>
        </m:oMathParaPr>
        <m:oMath>
          <m:r>
            <m:rPr>
              <m:sty m:val="p"/>
            </m:rPr>
            <m:t>support</m:t>
          </m:r>
          <m:r>
            <m:rPr>
              <m:sty m:val="p"/>
            </m:rPr>
            <m:t>(</m:t>
          </m:r>
          <m:r>
            <m:rPr>
              <m:sty m:val="p"/>
            </m:rPr>
            <m:t>{</m:t>
          </m:r>
          <m:r>
            <m:rPr>
              <m:nor/>
              <m:sty m:val="p"/>
            </m:rPr>
            <m:t>Bread</m:t>
          </m:r>
          <m:r>
            <m:rPr>
              <m:sty m:val="p"/>
            </m:rPr>
            <m:t>,</m:t>
          </m:r>
          <m:r>
            <m:rPr>
              <m:nor/>
              <m:sty m:val="p"/>
            </m:rPr>
            <m:t>Milk</m:t>
          </m:r>
          <m:r>
            <m:rPr>
              <m:sty m:val="p"/>
            </m:rPr>
            <m:t>}</m:t>
          </m:r>
          <m:r>
            <m:rPr>
              <m:sty m:val="p"/>
            </m:rPr>
            <m:t>)</m:t>
          </m:r>
          <m:r>
            <m:rPr>
              <m:sty m:val="p"/>
            </m:rPr>
            <m:t>=</m:t>
          </m:r>
          <m:f>
            <m:fPr>
              <m:type m:val="bar"/>
            </m:fPr>
            <m:num>
              <m:r>
                <m:t>5</m:t>
              </m:r>
            </m:num>
            <m:den>
              <m:r>
                <m:t>10</m:t>
              </m:r>
            </m:den>
          </m:f>
          <m:r>
            <m:rPr>
              <m:sty m:val="p"/>
            </m:rPr>
            <m:t>=</m:t>
          </m:r>
          <m:r>
            <m:t>50</m:t>
          </m:r>
          <m:r>
            <m:rPr>
              <m:sty m:val="p"/>
            </m:rPr>
            <m:t>%</m:t>
          </m:r>
          <m:r>
            <m:rPr>
              <m:sty m:val="p"/>
            </m:rPr>
            <m:t>.</m:t>
          </m:r>
        </m:oMath>
      </m:oMathPara>
    </w:p>
    <w:bookmarkEnd w:id="15"/>
    <w:bookmarkStart w:id="16" w:name="bread-and-butter"/>
    <w:p>
      <w:pPr>
        <w:pStyle w:val="Heading3"/>
      </w:pPr>
      <w:r>
        <w:t xml:space="preserve">Bread and Butter</w:t>
      </w:r>
    </w:p>
    <w:p>
      <w:pPr>
        <w:pStyle w:val="FirstParagraph"/>
      </w:pPr>
      <w:r>
        <w:t xml:space="preserve">They occur together in T1, T5, T6, and T8: 4 transactions.</w:t>
      </w:r>
    </w:p>
    <w:p>
      <w:pPr>
        <w:pStyle w:val="BodyText"/>
      </w:pPr>
      <m:oMathPara>
        <m:oMathParaPr>
          <m:jc m:val="center"/>
        </m:oMathParaPr>
        <m:oMath>
          <m:r>
            <m:rPr>
              <m:sty m:val="p"/>
            </m:rPr>
            <m:t>support</m:t>
          </m:r>
          <m:r>
            <m:rPr>
              <m:sty m:val="p"/>
            </m:rPr>
            <m:t>(</m:t>
          </m:r>
          <m:r>
            <m:rPr>
              <m:sty m:val="p"/>
            </m:rPr>
            <m:t>{</m:t>
          </m:r>
          <m:r>
            <m:rPr>
              <m:nor/>
              <m:sty m:val="p"/>
            </m:rPr>
            <m:t>Bread</m:t>
          </m:r>
          <m:r>
            <m:rPr>
              <m:sty m:val="p"/>
            </m:rPr>
            <m:t>,</m:t>
          </m:r>
          <m:r>
            <m:rPr>
              <m:nor/>
              <m:sty m:val="p"/>
            </m:rPr>
            <m:t>Butter</m:t>
          </m:r>
          <m:r>
            <m:rPr>
              <m:sty m:val="p"/>
            </m:rPr>
            <m:t>}</m:t>
          </m:r>
          <m:r>
            <m:rPr>
              <m:sty m:val="p"/>
            </m:rPr>
            <m:t>)</m:t>
          </m:r>
          <m:r>
            <m:rPr>
              <m:sty m:val="p"/>
            </m:rPr>
            <m:t>=</m:t>
          </m:r>
          <m:f>
            <m:fPr>
              <m:type m:val="bar"/>
            </m:fPr>
            <m:num>
              <m:r>
                <m:t>4</m:t>
              </m:r>
            </m:num>
            <m:den>
              <m:r>
                <m:t>10</m:t>
              </m:r>
            </m:den>
          </m:f>
          <m:r>
            <m:rPr>
              <m:sty m:val="p"/>
            </m:rPr>
            <m:t>=</m:t>
          </m:r>
          <m:r>
            <m:t>40</m:t>
          </m:r>
          <m:r>
            <m:rPr>
              <m:sty m:val="p"/>
            </m:rPr>
            <m:t>%</m:t>
          </m:r>
          <m:r>
            <m:rPr>
              <m:sty m:val="p"/>
            </m:rPr>
            <m:t>.</m:t>
          </m:r>
        </m:oMath>
      </m:oMathPara>
    </w:p>
    <w:bookmarkEnd w:id="16"/>
    <w:bookmarkStart w:id="17" w:name="milk-and-butter"/>
    <w:p>
      <w:pPr>
        <w:pStyle w:val="Heading3"/>
      </w:pPr>
      <w:r>
        <w:t xml:space="preserve">Milk and Butter</w:t>
      </w:r>
    </w:p>
    <w:p>
      <w:pPr>
        <w:pStyle w:val="FirstParagraph"/>
      </w:pPr>
      <w:r>
        <w:t xml:space="preserve">They occur together in T1, T4, T5, and T8: 4 transactions.</w:t>
      </w:r>
    </w:p>
    <w:p>
      <w:pPr>
        <w:pStyle w:val="BodyText"/>
      </w:pPr>
      <m:oMathPara>
        <m:oMathParaPr>
          <m:jc m:val="center"/>
        </m:oMathParaPr>
        <m:oMath>
          <m:r>
            <m:rPr>
              <m:sty m:val="p"/>
            </m:rPr>
            <m:t>support</m:t>
          </m:r>
          <m:r>
            <m:rPr>
              <m:sty m:val="p"/>
            </m:rPr>
            <m:t>(</m:t>
          </m:r>
          <m:r>
            <m:rPr>
              <m:sty m:val="p"/>
            </m:rPr>
            <m:t>{</m:t>
          </m:r>
          <m:r>
            <m:rPr>
              <m:nor/>
              <m:sty m:val="p"/>
            </m:rPr>
            <m:t>Milk</m:t>
          </m:r>
          <m:r>
            <m:rPr>
              <m:sty m:val="p"/>
            </m:rPr>
            <m:t>,</m:t>
          </m:r>
          <m:r>
            <m:rPr>
              <m:nor/>
              <m:sty m:val="p"/>
            </m:rPr>
            <m:t>Butter</m:t>
          </m:r>
          <m:r>
            <m:rPr>
              <m:sty m:val="p"/>
            </m:rPr>
            <m:t>}</m:t>
          </m:r>
          <m:r>
            <m:rPr>
              <m:sty m:val="p"/>
            </m:rPr>
            <m:t>)</m:t>
          </m:r>
          <m:r>
            <m:rPr>
              <m:sty m:val="p"/>
            </m:rPr>
            <m:t>=</m:t>
          </m:r>
          <m:f>
            <m:fPr>
              <m:type m:val="bar"/>
            </m:fPr>
            <m:num>
              <m:r>
                <m:t>4</m:t>
              </m:r>
            </m:num>
            <m:den>
              <m:r>
                <m:t>10</m:t>
              </m:r>
            </m:den>
          </m:f>
          <m:r>
            <m:rPr>
              <m:sty m:val="p"/>
            </m:rPr>
            <m:t>=</m:t>
          </m:r>
          <m:r>
            <m:t>40</m:t>
          </m:r>
          <m:r>
            <m:rPr>
              <m:sty m:val="p"/>
            </m:rPr>
            <m:t>%</m:t>
          </m:r>
          <m:r>
            <m:rPr>
              <m:sty m:val="p"/>
            </m:rPr>
            <m:t>.</m:t>
          </m:r>
        </m:oMath>
      </m:oMathPara>
    </w:p>
    <w:bookmarkEnd w:id="17"/>
    <w:bookmarkStart w:id="18" w:name="bread-milk-and-butter"/>
    <w:p>
      <w:pPr>
        <w:pStyle w:val="Heading3"/>
      </w:pPr>
      <w:r>
        <w:t xml:space="preserve">Bread, Milk, and Butter</w:t>
      </w:r>
    </w:p>
    <w:p>
      <w:pPr>
        <w:pStyle w:val="FirstParagraph"/>
      </w:pPr>
      <w:r>
        <w:t xml:space="preserve">All three occur together in T1, T5, and T8: 3 transactions.</w:t>
      </w:r>
    </w:p>
    <w:p>
      <w:pPr>
        <w:pStyle w:val="BodyText"/>
      </w:pPr>
      <m:oMathPara>
        <m:oMathParaPr>
          <m:jc m:val="center"/>
        </m:oMathParaPr>
        <m:oMath>
          <m:r>
            <m:rPr>
              <m:sty m:val="p"/>
            </m:rPr>
            <m:t>support</m:t>
          </m:r>
          <m:r>
            <m:rPr>
              <m:sty m:val="p"/>
            </m:rPr>
            <m:t>(</m:t>
          </m:r>
          <m:r>
            <m:rPr>
              <m:sty m:val="p"/>
            </m:rPr>
            <m:t>{</m:t>
          </m:r>
          <m:r>
            <m:rPr>
              <m:nor/>
              <m:sty m:val="p"/>
            </m:rPr>
            <m:t>Bread</m:t>
          </m:r>
          <m:r>
            <m:rPr>
              <m:sty m:val="p"/>
            </m:rPr>
            <m:t>,</m:t>
          </m:r>
          <m:r>
            <m:rPr>
              <m:nor/>
              <m:sty m:val="p"/>
            </m:rPr>
            <m:t>Milk</m:t>
          </m:r>
          <m:r>
            <m:rPr>
              <m:sty m:val="p"/>
            </m:rPr>
            <m:t>,</m:t>
          </m:r>
          <m:r>
            <m:rPr>
              <m:nor/>
              <m:sty m:val="p"/>
            </m:rPr>
            <m:t>Butter</m:t>
          </m:r>
          <m:r>
            <m:rPr>
              <m:sty m:val="p"/>
            </m:rPr>
            <m:t>}</m:t>
          </m:r>
          <m:r>
            <m:rPr>
              <m:sty m:val="p"/>
            </m:rPr>
            <m:t>)</m:t>
          </m:r>
          <m:r>
            <m:rPr>
              <m:sty m:val="p"/>
            </m:rPr>
            <m:t>=</m:t>
          </m:r>
          <m:f>
            <m:fPr>
              <m:type m:val="bar"/>
            </m:fPr>
            <m:num>
              <m:r>
                <m:t>3</m:t>
              </m:r>
            </m:num>
            <m:den>
              <m:r>
                <m:t>10</m:t>
              </m:r>
            </m:den>
          </m:f>
          <m:r>
            <m:rPr>
              <m:sty m:val="p"/>
            </m:rPr>
            <m:t>=</m:t>
          </m:r>
          <m:r>
            <m:t>30</m:t>
          </m:r>
          <m:r>
            <m:rPr>
              <m:sty m:val="p"/>
            </m:rPr>
            <m:t>%</m:t>
          </m:r>
          <m:r>
            <m:rPr>
              <m:sty m:val="p"/>
            </m:rPr>
            <m:t>.</m:t>
          </m:r>
        </m:oMath>
      </m:oMathPara>
    </w:p>
    <w:bookmarkEnd w:id="18"/>
    <w:bookmarkStart w:id="19" w:name="coffee-and-eggs"/>
    <w:p>
      <w:pPr>
        <w:pStyle w:val="Heading3"/>
      </w:pPr>
      <w:r>
        <w:t xml:space="preserve">Coffee and Eggs</w:t>
      </w:r>
    </w:p>
    <w:p>
      <w:pPr>
        <w:pStyle w:val="FirstParagraph"/>
      </w:pPr>
      <w:r>
        <w:t xml:space="preserve">They occur together only in T10: 1 transaction.</w:t>
      </w:r>
    </w:p>
    <w:p>
      <w:pPr>
        <w:pStyle w:val="BodyText"/>
      </w:pPr>
      <m:oMathPara>
        <m:oMathParaPr>
          <m:jc m:val="center"/>
        </m:oMathParaPr>
        <m:oMath>
          <m:r>
            <m:rPr>
              <m:sty m:val="p"/>
            </m:rPr>
            <m:t>support</m:t>
          </m:r>
          <m:r>
            <m:rPr>
              <m:sty m:val="p"/>
            </m:rPr>
            <m:t>(</m:t>
          </m:r>
          <m:r>
            <m:rPr>
              <m:sty m:val="p"/>
            </m:rPr>
            <m:t>{</m:t>
          </m:r>
          <m:r>
            <m:rPr>
              <m:nor/>
              <m:sty m:val="p"/>
            </m:rPr>
            <m:t>Coffee</m:t>
          </m:r>
          <m:r>
            <m:rPr>
              <m:sty m:val="p"/>
            </m:rPr>
            <m:t>,</m:t>
          </m:r>
          <m:r>
            <m:rPr>
              <m:nor/>
              <m:sty m:val="p"/>
            </m:rPr>
            <m:t>Eggs</m:t>
          </m:r>
          <m:r>
            <m:rPr>
              <m:sty m:val="p"/>
            </m:rPr>
            <m:t>}</m:t>
          </m:r>
          <m:r>
            <m:rPr>
              <m:sty m:val="p"/>
            </m:rPr>
            <m:t>)</m:t>
          </m:r>
          <m:r>
            <m:rPr>
              <m:sty m:val="p"/>
            </m:rPr>
            <m:t>=</m:t>
          </m:r>
          <m:f>
            <m:fPr>
              <m:type m:val="bar"/>
            </m:fPr>
            <m:num>
              <m:r>
                <m:t>1</m:t>
              </m:r>
            </m:num>
            <m:den>
              <m:r>
                <m:t>10</m:t>
              </m:r>
            </m:den>
          </m:f>
          <m:r>
            <m:rPr>
              <m:sty m:val="p"/>
            </m:rPr>
            <m:t>=</m:t>
          </m:r>
          <m:r>
            <m:t>10</m:t>
          </m:r>
          <m:r>
            <m:rPr>
              <m:sty m:val="p"/>
            </m:rPr>
            <m:t>%</m:t>
          </m:r>
          <m:r>
            <m:rPr>
              <m:sty m:val="p"/>
            </m:rPr>
            <m:t>.</m:t>
          </m:r>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Itemset</w:t>
            </w:r>
          </w:p>
        </w:tc>
        <w:tc>
          <w:tcPr/>
          <w:p>
            <w:pPr>
              <w:pStyle w:val="Compact"/>
              <w:jc w:val="right"/>
            </w:pPr>
            <w:r>
              <w:t xml:space="preserve">Count</w:t>
            </w:r>
          </w:p>
        </w:tc>
        <w:tc>
          <w:tcPr/>
          <w:p>
            <w:pPr>
              <w:pStyle w:val="Compact"/>
              <w:jc w:val="right"/>
            </w:pPr>
            <w:r>
              <w:t xml:space="preserve">Support</w:t>
            </w:r>
          </w:p>
        </w:tc>
      </w:tr>
      <w:tr>
        <w:tc>
          <w:tcPr/>
          <w:p>
            <w:pPr>
              <w:pStyle w:val="Compact"/>
              <w:jc w:val="left"/>
            </w:pPr>
            <w:r>
              <w:t xml:space="preserve">{Bread, Milk}</w:t>
            </w:r>
          </w:p>
        </w:tc>
        <w:tc>
          <w:tcPr/>
          <w:p>
            <w:pPr>
              <w:pStyle w:val="Compact"/>
              <w:jc w:val="right"/>
            </w:pPr>
            <w:r>
              <w:t xml:space="preserve">5</w:t>
            </w:r>
          </w:p>
        </w:tc>
        <w:tc>
          <w:tcPr/>
          <w:p>
            <w:pPr>
              <w:pStyle w:val="Compact"/>
              <w:jc w:val="right"/>
            </w:pPr>
            <w:r>
              <w:t xml:space="preserve">50%</w:t>
            </w:r>
          </w:p>
        </w:tc>
      </w:tr>
      <w:tr>
        <w:tc>
          <w:tcPr/>
          <w:p>
            <w:pPr>
              <w:pStyle w:val="Compact"/>
              <w:jc w:val="left"/>
            </w:pPr>
            <w:r>
              <w:t xml:space="preserve">{Bread, Butter}</w:t>
            </w:r>
          </w:p>
        </w:tc>
        <w:tc>
          <w:tcPr/>
          <w:p>
            <w:pPr>
              <w:pStyle w:val="Compact"/>
              <w:jc w:val="right"/>
            </w:pPr>
            <w:r>
              <w:t xml:space="preserve">4</w:t>
            </w:r>
          </w:p>
        </w:tc>
        <w:tc>
          <w:tcPr/>
          <w:p>
            <w:pPr>
              <w:pStyle w:val="Compact"/>
              <w:jc w:val="right"/>
            </w:pPr>
            <w:r>
              <w:t xml:space="preserve">40%</w:t>
            </w:r>
          </w:p>
        </w:tc>
      </w:tr>
      <w:tr>
        <w:tc>
          <w:tcPr/>
          <w:p>
            <w:pPr>
              <w:pStyle w:val="Compact"/>
              <w:jc w:val="left"/>
            </w:pPr>
            <w:r>
              <w:t xml:space="preserve">{Milk, Butter}</w:t>
            </w:r>
          </w:p>
        </w:tc>
        <w:tc>
          <w:tcPr/>
          <w:p>
            <w:pPr>
              <w:pStyle w:val="Compact"/>
              <w:jc w:val="right"/>
            </w:pPr>
            <w:r>
              <w:t xml:space="preserve">4</w:t>
            </w:r>
          </w:p>
        </w:tc>
        <w:tc>
          <w:tcPr/>
          <w:p>
            <w:pPr>
              <w:pStyle w:val="Compact"/>
              <w:jc w:val="right"/>
            </w:pPr>
            <w:r>
              <w:t xml:space="preserve">40%</w:t>
            </w:r>
          </w:p>
        </w:tc>
      </w:tr>
      <w:tr>
        <w:tc>
          <w:tcPr/>
          <w:p>
            <w:pPr>
              <w:pStyle w:val="Compact"/>
              <w:jc w:val="left"/>
            </w:pPr>
            <w:r>
              <w:t xml:space="preserve">{Bread, Milk, Butter}</w:t>
            </w:r>
          </w:p>
        </w:tc>
        <w:tc>
          <w:tcPr/>
          <w:p>
            <w:pPr>
              <w:pStyle w:val="Compact"/>
              <w:jc w:val="right"/>
            </w:pPr>
            <w:r>
              <w:t xml:space="preserve">3</w:t>
            </w:r>
          </w:p>
        </w:tc>
        <w:tc>
          <w:tcPr/>
          <w:p>
            <w:pPr>
              <w:pStyle w:val="Compact"/>
              <w:jc w:val="right"/>
            </w:pPr>
            <w:r>
              <w:t xml:space="preserve">30%</w:t>
            </w:r>
          </w:p>
        </w:tc>
      </w:tr>
      <w:tr>
        <w:tc>
          <w:tcPr/>
          <w:p>
            <w:pPr>
              <w:pStyle w:val="Compact"/>
              <w:jc w:val="left"/>
            </w:pPr>
            <w:r>
              <w:t xml:space="preserve">{Coffee, Eggs}</w:t>
            </w:r>
          </w:p>
        </w:tc>
        <w:tc>
          <w:tcPr/>
          <w:p>
            <w:pPr>
              <w:pStyle w:val="Compact"/>
              <w:jc w:val="right"/>
            </w:pPr>
            <w:r>
              <w:t xml:space="preserve">1</w:t>
            </w:r>
          </w:p>
        </w:tc>
        <w:tc>
          <w:tcPr/>
          <w:p>
            <w:pPr>
              <w:pStyle w:val="Compact"/>
              <w:jc w:val="right"/>
            </w:pPr>
            <w:r>
              <w:t xml:space="preserve">10%</w:t>
            </w:r>
          </w:p>
        </w:tc>
      </w:tr>
    </w:tbl>
    <w:bookmarkEnd w:id="19"/>
    <w:bookmarkEnd w:id="20"/>
    <w:bookmarkStart w:id="21" w:name="Xbd84a8db58bfbf23c863b70cef78d9f7cdfedaa"/>
    <w:p>
      <w:pPr>
        <w:pStyle w:val="Heading2"/>
      </w:pPr>
      <w:r>
        <w:t xml:space="preserve">3. Frequent itemsets for</w:t>
      </w:r>
      <w:r>
        <w:t xml:space="preserve"> </w:t>
      </w:r>
      <m:oMath>
        <m:r>
          <m:rPr>
            <m:sty m:val="p"/>
          </m:rPr>
          <m:t>minsup</m:t>
        </m:r>
        <m:r>
          <m:rPr>
            <m:sty m:val="p"/>
          </m:rPr>
          <m:t>=</m:t>
        </m:r>
        <m:r>
          <m:t>30</m:t>
        </m:r>
        <m:r>
          <m:rPr>
            <m:sty m:val="p"/>
          </m:rPr>
          <m:t>%</m:t>
        </m:r>
      </m:oMath>
    </w:p>
    <w:p>
      <w:pPr>
        <w:pStyle w:val="FirstParagraph"/>
      </w:pPr>
      <w:r>
        <w:t xml:space="preserve">An itemset is frequent when its support is at least 30%.</w:t>
      </w:r>
    </w:p>
    <w:p>
      <w:pPr>
        <w:pStyle w:val="BodyText"/>
      </w:pPr>
      <w:r>
        <w:t xml:space="preserve">Therefore, the frequent itemsets among those considered are:</w:t>
      </w:r>
    </w:p>
    <w:p>
      <w:pPr>
        <w:pStyle w:val="Compact"/>
        <w:numPr>
          <w:ilvl w:val="0"/>
          <w:numId w:val="1001"/>
        </w:numPr>
      </w:pPr>
      <w:r>
        <w:t xml:space="preserve">{Bread};</w:t>
      </w:r>
    </w:p>
    <w:p>
      <w:pPr>
        <w:pStyle w:val="Compact"/>
        <w:numPr>
          <w:ilvl w:val="0"/>
          <w:numId w:val="1001"/>
        </w:numPr>
      </w:pPr>
      <w:r>
        <w:t xml:space="preserve">{Milk};</w:t>
      </w:r>
    </w:p>
    <w:p>
      <w:pPr>
        <w:pStyle w:val="Compact"/>
        <w:numPr>
          <w:ilvl w:val="0"/>
          <w:numId w:val="1001"/>
        </w:numPr>
      </w:pPr>
      <w:r>
        <w:t xml:space="preserve">{Butter};</w:t>
      </w:r>
    </w:p>
    <w:p>
      <w:pPr>
        <w:pStyle w:val="Compact"/>
        <w:numPr>
          <w:ilvl w:val="0"/>
          <w:numId w:val="1001"/>
        </w:numPr>
      </w:pPr>
      <w:r>
        <w:t xml:space="preserve">{Eggs};</w:t>
      </w:r>
    </w:p>
    <w:p>
      <w:pPr>
        <w:pStyle w:val="Compact"/>
        <w:numPr>
          <w:ilvl w:val="0"/>
          <w:numId w:val="1001"/>
        </w:numPr>
      </w:pPr>
      <w:r>
        <w:t xml:space="preserve">{Bread, Milk};</w:t>
      </w:r>
    </w:p>
    <w:p>
      <w:pPr>
        <w:pStyle w:val="Compact"/>
        <w:numPr>
          <w:ilvl w:val="0"/>
          <w:numId w:val="1001"/>
        </w:numPr>
      </w:pPr>
      <w:r>
        <w:t xml:space="preserve">{Bread, Butter};</w:t>
      </w:r>
    </w:p>
    <w:p>
      <w:pPr>
        <w:pStyle w:val="Compact"/>
        <w:numPr>
          <w:ilvl w:val="0"/>
          <w:numId w:val="1001"/>
        </w:numPr>
      </w:pPr>
      <w:r>
        <w:t xml:space="preserve">{Milk, Butter};</w:t>
      </w:r>
    </w:p>
    <w:p>
      <w:pPr>
        <w:pStyle w:val="Compact"/>
        <w:numPr>
          <w:ilvl w:val="0"/>
          <w:numId w:val="1001"/>
        </w:numPr>
      </w:pPr>
      <w:r>
        <w:t xml:space="preserve">{Bread, Milk, Butter}.</w:t>
      </w:r>
    </w:p>
    <w:p>
      <w:pPr>
        <w:pStyle w:val="FirstParagraph"/>
      </w:pPr>
      <w:r>
        <w:t xml:space="preserve">{Coffee} and {Coffee, Eggs} are not frequent because their supports are 20% and 10%, respectively.</w:t>
      </w:r>
    </w:p>
    <w:bookmarkEnd w:id="21"/>
    <w:bookmarkStart w:id="25" w:name="why-support-is-not-implication-strength"/>
    <w:p>
      <w:pPr>
        <w:pStyle w:val="Heading2"/>
      </w:pPr>
      <w:r>
        <w:t xml:space="preserve">4. Why support is not implication strength</w:t>
      </w:r>
    </w:p>
    <w:p>
      <w:pPr>
        <w:pStyle w:val="FirstParagraph"/>
      </w:pPr>
      <w:r>
        <w:t xml:space="preserve">Support measures</w:t>
      </w:r>
      <w:r>
        <w:t xml:space="preserve"> </w:t>
      </w:r>
      <w:r>
        <w:rPr>
          <w:b/>
          <w:bCs/>
        </w:rPr>
        <w:t xml:space="preserve">how often an itemset occurs</w:t>
      </w:r>
      <w:r>
        <w:t xml:space="preserve">. For example, {Bread, Milk} has support 50%, meaning that Bread and Milk appear together in half of the transactions.</w:t>
      </w:r>
    </w:p>
    <w:p>
      <w:pPr>
        <w:pStyle w:val="BodyText"/>
      </w:pPr>
      <w:r>
        <w:t xml:space="preserve">However, support alone does not tell us how often Milk appears</w:t>
      </w:r>
      <w:r>
        <w:t xml:space="preserve"> </w:t>
      </w:r>
      <w:r>
        <w:rPr>
          <w:b/>
          <w:bCs/>
        </w:rPr>
        <w:t xml:space="preserve">given that Bread appears</w:t>
      </w:r>
      <w:r>
        <w:t xml:space="preserve">. The itemset is symmetric: {Bread, Milk} and {Milk, Bread} are the same set. To describe a directional implication, we need confidence.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ML insight — frequency and direction are different questions</w:t>
            </w:r>
          </w:p>
        </w:tc>
      </w:tr>
      <w:tr>
        <w:trPr>
          <w:cantSplit/>
        </w:trPr>
        <w:tc>
          <w:tcPr>
            <w:tcMar>
              <w:top w:w="108" w:type="dxa"/>
              <w:bottom w:w="108" w:type="dxa"/>
            </w:tcMar>
          </w:tcPr>
          <w:p>
            <w:pPr>
              <w:pStyle w:val="BodyText"/>
            </w:pPr>
            <w:pPr>
              <w:spacing w:before="16" w:after="16"/>
            </w:pPr>
            <w:r>
              <w:t xml:space="preserve">Support is a property of a set of co-occurring items. Confidence is a property of a directional rule. The same joint frequency can therefore produce different rule confidences when the antecedents have different frequencies.</w:t>
            </w:r>
          </w:p>
          <w:p/>
        </w:tc>
      </w:tr>
    </w:tbl>
    <w:bookmarkEnd w:id="25"/>
    <w:bookmarkEnd w:id="26"/>
    <w:bookmarkStart w:id="34" w:name="from-itemsets-to-association-rules"/>
    <w:p>
      <w:pPr>
        <w:pStyle w:val="Heading1"/>
      </w:pPr>
      <w:r>
        <w:t xml:space="preserve">10.2 From itemsets to association rules ✎</w:t>
      </w:r>
    </w:p>
    <w:p>
      <w:pPr>
        <w:pStyle w:val="FirstParagraph"/>
      </w:pPr>
      <w:r>
        <w:t xml:space="preserve">For a rule</w:t>
      </w:r>
      <w:r>
        <w:t xml:space="preserve"> </w:t>
      </w:r>
      <m:oMath>
        <m:r>
          <m:t>X</m:t>
        </m:r>
        <m:r>
          <m:rPr>
            <m:sty m:val="p"/>
          </m:rPr>
          <m:t>→</m:t>
        </m:r>
        <m:r>
          <m:t>Y</m:t>
        </m:r>
      </m:oMath>
      <w:r>
        <w:t xml:space="preserve">,</w:t>
      </w:r>
    </w:p>
    <w:p>
      <w:pPr>
        <w:pStyle w:val="BodyText"/>
      </w:pPr>
      <m:oMathPara>
        <m:oMathParaPr>
          <m:jc m:val="center"/>
        </m:oMathParaPr>
        <m:oMath>
          <m:r>
            <m:rPr>
              <m:sty m:val="p"/>
            </m:rPr>
            <m:t>support</m:t>
          </m:r>
          <m:r>
            <m:rPr>
              <m:sty m:val="p"/>
            </m:rPr>
            <m:t>(</m:t>
          </m:r>
          <m:r>
            <m:t>X</m:t>
          </m:r>
          <m:r>
            <m:rPr>
              <m:sty m:val="p"/>
            </m:rPr>
            <m:t>→</m:t>
          </m:r>
          <m:r>
            <m:t>Y</m:t>
          </m:r>
          <m:r>
            <m:rPr>
              <m:sty m:val="p"/>
            </m:rPr>
            <m:t>)</m:t>
          </m:r>
          <m:r>
            <m:rPr>
              <m:sty m:val="p"/>
            </m:rPr>
            <m:t>=</m:t>
          </m:r>
          <m:r>
            <m:rPr>
              <m:sty m:val="p"/>
            </m:rPr>
            <m:t>support</m:t>
          </m:r>
          <m:r>
            <m:rPr>
              <m:sty m:val="p"/>
            </m:rPr>
            <m:t>(</m:t>
          </m:r>
          <m:r>
            <m:t>X</m:t>
          </m:r>
          <m:r>
            <m:rPr>
              <m:sty m:val="p"/>
            </m:rPr>
            <m:t>∪</m:t>
          </m:r>
          <m:r>
            <m:t>Y</m:t>
          </m:r>
          <m:r>
            <m:rPr>
              <m:sty m:val="p"/>
            </m:rPr>
            <m:t>)</m:t>
          </m:r>
          <m:r>
            <m:rPr>
              <m:sty m:val="p"/>
            </m:rPr>
            <m:t>,</m:t>
          </m:r>
        </m:oMath>
      </m:oMathPara>
    </w:p>
    <w:p>
      <w:pPr>
        <w:pStyle w:val="FirstParagraph"/>
      </w:pPr>
      <w:r>
        <w:t xml:space="preserve">and</w:t>
      </w:r>
    </w:p>
    <w:p>
      <w:pPr>
        <w:pStyle w:val="BodyText"/>
      </w:pPr>
      <m:oMathPara>
        <m:oMathParaPr>
          <m:jc m:val="center"/>
        </m:oMathParaPr>
        <m:oMath>
          <m:r>
            <m:rPr>
              <m:sty m:val="p"/>
            </m:rPr>
            <m:t>confidence</m:t>
          </m:r>
          <m:r>
            <m:rPr>
              <m:sty m:val="p"/>
            </m:rPr>
            <m:t>(</m:t>
          </m:r>
          <m:r>
            <m:t>X</m:t>
          </m:r>
          <m:r>
            <m:rPr>
              <m:sty m:val="p"/>
            </m:rPr>
            <m:t>→</m:t>
          </m:r>
          <m:r>
            <m:t>Y</m:t>
          </m:r>
          <m:r>
            <m:rPr>
              <m:sty m:val="p"/>
            </m:rPr>
            <m:t>)</m:t>
          </m:r>
          <m:r>
            <m:rPr>
              <m:sty m:val="p"/>
            </m:rPr>
            <m:t>=</m:t>
          </m:r>
          <m:f>
            <m:fPr>
              <m:type m:val="bar"/>
            </m:fPr>
            <m:num>
              <m:r>
                <m:rPr>
                  <m:sty m:val="p"/>
                </m:rPr>
                <m:t>support</m:t>
              </m:r>
              <m:r>
                <m:rPr>
                  <m:sty m:val="p"/>
                </m:rPr>
                <m:t>(</m:t>
              </m:r>
              <m:r>
                <m:t>X</m:t>
              </m:r>
              <m:r>
                <m:rPr>
                  <m:sty m:val="p"/>
                </m:rPr>
                <m:t>∪</m:t>
              </m:r>
              <m:r>
                <m:t>Y</m:t>
              </m:r>
              <m:r>
                <m:rPr>
                  <m:sty m:val="p"/>
                </m:rPr>
                <m:t>)</m:t>
              </m:r>
            </m:num>
            <m:den>
              <m:r>
                <m:rPr>
                  <m:sty m:val="p"/>
                </m:rPr>
                <m:t>support</m:t>
              </m:r>
              <m:r>
                <m:rPr>
                  <m:sty m:val="p"/>
                </m:rPr>
                <m:t>(</m:t>
              </m:r>
              <m:r>
                <m:t>X</m:t>
              </m:r>
              <m:r>
                <m:rPr>
                  <m:sty m:val="p"/>
                </m:rPr>
                <m:t>)</m:t>
              </m:r>
            </m:den>
          </m:f>
          <m:r>
            <m:rPr>
              <m:sty m:val="p"/>
            </m:rPr>
            <m:t>.</m:t>
          </m:r>
        </m:oMath>
      </m:oMathPara>
    </w:p>
    <w:p>
      <w:pPr>
        <w:pStyle w:val="FirstParagraph"/>
      </w:pPr>
      <w:r>
        <w:t xml:space="preserve">Equivalently, using counts,</w:t>
      </w:r>
    </w:p>
    <w:p>
      <w:pPr>
        <w:pStyle w:val="BodyText"/>
      </w:pPr>
      <m:oMathPara>
        <m:oMathParaPr>
          <m:jc m:val="center"/>
        </m:oMathParaPr>
        <m:oMath>
          <m:r>
            <m:rPr>
              <m:sty m:val="p"/>
            </m:rPr>
            <m:t>confidence</m:t>
          </m:r>
          <m:r>
            <m:rPr>
              <m:sty m:val="p"/>
            </m:rPr>
            <m:t>(</m:t>
          </m:r>
          <m:r>
            <m:t>X</m:t>
          </m:r>
          <m:r>
            <m:rPr>
              <m:sty m:val="p"/>
            </m:rPr>
            <m:t>→</m:t>
          </m:r>
          <m:r>
            <m:t>Y</m:t>
          </m:r>
          <m:r>
            <m:rPr>
              <m:sty m:val="p"/>
            </m:rPr>
            <m:t>)</m:t>
          </m:r>
          <m:r>
            <m:rPr>
              <m:sty m:val="p"/>
            </m:rPr>
            <m:t>=</m:t>
          </m:r>
          <m:f>
            <m:fPr>
              <m:type m:val="bar"/>
            </m:fPr>
            <m:num>
              <m:r>
                <m:rPr>
                  <m:sty m:val="p"/>
                </m:rPr>
                <m:t>#</m:t>
              </m:r>
              <m:r>
                <m:rPr>
                  <m:sty m:val="p"/>
                </m:rPr>
                <m:t>(</m:t>
              </m:r>
              <m:r>
                <m:t>X</m:t>
              </m:r>
              <m:r>
                <m:rPr>
                  <m:sty m:val="p"/>
                </m:rPr>
                <m:t>∪</m:t>
              </m:r>
              <m:r>
                <m:t>Y</m:t>
              </m:r>
              <m:r>
                <m:rPr>
                  <m:sty m:val="p"/>
                </m:rPr>
                <m:t>)</m:t>
              </m:r>
            </m:num>
            <m:den>
              <m:r>
                <m:rPr>
                  <m:sty m:val="p"/>
                </m:rPr>
                <m:t>#</m:t>
              </m:r>
              <m:r>
                <m:rPr>
                  <m:sty m:val="p"/>
                </m:rPr>
                <m:t>(</m:t>
              </m:r>
              <m:r>
                <m:t>X</m:t>
              </m:r>
              <m:r>
                <m:rPr>
                  <m:sty m:val="p"/>
                </m:rPr>
                <m:t>)</m:t>
              </m:r>
            </m:den>
          </m:f>
          <m:r>
            <m:rPr>
              <m:sty m:val="p"/>
            </m:rPr>
            <m:t>.</m:t>
          </m:r>
        </m:oMath>
      </m:oMathPara>
    </w:p>
    <w:bookmarkStart w:id="27" w:name="bread-rightarrow-milk"/>
    <w:p>
      <w:pPr>
        <w:pStyle w:val="Heading2"/>
      </w:pPr>
      <w:r>
        <w:t xml:space="preserve">1. Bread</w:t>
      </w:r>
      <w:r>
        <w:t xml:space="preserve"> </w:t>
      </w:r>
      <m:oMath>
        <m:r>
          <m:rPr>
            <m:sty m:val="p"/>
          </m:rPr>
          <m:t>→</m:t>
        </m:r>
      </m:oMath>
      <w:r>
        <w:t xml:space="preserve"> </w:t>
      </w:r>
      <w:r>
        <w:t xml:space="preserve">Milk</w:t>
      </w:r>
    </w:p>
    <w:p>
      <w:pPr>
        <w:pStyle w:val="FirstParagraph"/>
      </w:pPr>
      <w:r>
        <w:t xml:space="preserve">The union {Bread, Milk} occurs in 5 transactions, while Bread occurs in 7.</w:t>
      </w:r>
    </w:p>
    <w:p>
      <w:pPr>
        <w:pStyle w:val="BodyText"/>
      </w:pPr>
      <m:oMathPara>
        <m:oMathParaPr>
          <m:jc m:val="center"/>
        </m:oMathParaPr>
        <m:oMath>
          <m:r>
            <m:rPr>
              <m:sty m:val="p"/>
            </m:rPr>
            <m:t>support</m:t>
          </m:r>
          <m:r>
            <m:rPr>
              <m:sty m:val="p"/>
            </m:rPr>
            <m:t>=</m:t>
          </m:r>
          <m:f>
            <m:fPr>
              <m:type m:val="bar"/>
            </m:fPr>
            <m:num>
              <m:r>
                <m:t>5</m:t>
              </m:r>
            </m:num>
            <m:den>
              <m:r>
                <m:t>10</m:t>
              </m:r>
            </m:den>
          </m:f>
          <m:r>
            <m:rPr>
              <m:sty m:val="p"/>
            </m:rPr>
            <m:t>=</m:t>
          </m:r>
          <m:r>
            <m:t>50</m:t>
          </m:r>
          <m:r>
            <m:rPr>
              <m:sty m:val="p"/>
            </m:rPr>
            <m:t>%</m:t>
          </m:r>
          <m:r>
            <m:rPr>
              <m:sty m:val="p"/>
            </m:rPr>
            <m:t>,</m:t>
          </m:r>
        </m:oMath>
      </m:oMathPara>
    </w:p>
    <w:p>
      <w:pPr>
        <w:pStyle w:val="FirstParagraph"/>
      </w:pPr>
      <m:oMathPara>
        <m:oMathParaPr>
          <m:jc m:val="center"/>
        </m:oMathParaPr>
        <m:oMath>
          <m:r>
            <m:rPr>
              <m:sty m:val="p"/>
            </m:rPr>
            <m:t>confidence</m:t>
          </m:r>
          <m:r>
            <m:rPr>
              <m:sty m:val="p"/>
            </m:rPr>
            <m:t>=</m:t>
          </m:r>
          <m:f>
            <m:fPr>
              <m:type m:val="bar"/>
            </m:fPr>
            <m:num>
              <m:r>
                <m:t>5</m:t>
              </m:r>
            </m:num>
            <m:den>
              <m:r>
                <m:t>7</m:t>
              </m:r>
            </m:den>
          </m:f>
          <m:r>
            <m:rPr>
              <m:sty m:val="p"/>
            </m:rPr>
            <m:t>≈</m:t>
          </m:r>
          <m:r>
            <m:t>0.7143</m:t>
          </m:r>
          <m:r>
            <m:rPr>
              <m:sty m:val="p"/>
            </m:rPr>
            <m:t>=</m:t>
          </m:r>
          <m:r>
            <m:t>71.43</m:t>
          </m:r>
          <m:r>
            <m:rPr>
              <m:sty m:val="p"/>
            </m:rPr>
            <m:t>%</m:t>
          </m:r>
          <m:r>
            <m:rPr>
              <m:sty m:val="p"/>
            </m:rPr>
            <m:t>.</m:t>
          </m:r>
        </m:oMath>
      </m:oMathPara>
    </w:p>
    <w:bookmarkEnd w:id="27"/>
    <w:bookmarkStart w:id="28" w:name="milk-rightarrow-bread"/>
    <w:p>
      <w:pPr>
        <w:pStyle w:val="Heading2"/>
      </w:pPr>
      <w:r>
        <w:t xml:space="preserve">2. Milk</w:t>
      </w:r>
      <w:r>
        <w:t xml:space="preserve"> </w:t>
      </w:r>
      <m:oMath>
        <m:r>
          <m:rPr>
            <m:sty m:val="p"/>
          </m:rPr>
          <m:t>→</m:t>
        </m:r>
      </m:oMath>
      <w:r>
        <w:t xml:space="preserve"> </w:t>
      </w:r>
      <w:r>
        <w:t xml:space="preserve">Bread</w:t>
      </w:r>
    </w:p>
    <w:p>
      <w:pPr>
        <w:pStyle w:val="FirstParagraph"/>
      </w:pPr>
      <w:r>
        <w:t xml:space="preserve">The same union occurs in 5 transactions, and Milk also occurs in 7.</w:t>
      </w:r>
    </w:p>
    <w:p>
      <w:pPr>
        <w:pStyle w:val="BodyText"/>
      </w:pPr>
      <m:oMathPara>
        <m:oMathParaPr>
          <m:jc m:val="center"/>
        </m:oMathParaPr>
        <m:oMath>
          <m:r>
            <m:rPr>
              <m:sty m:val="p"/>
            </m:rPr>
            <m:t>support</m:t>
          </m:r>
          <m:r>
            <m:rPr>
              <m:sty m:val="p"/>
            </m:rPr>
            <m:t>=</m:t>
          </m:r>
          <m:r>
            <m:t>50</m:t>
          </m:r>
          <m:r>
            <m:rPr>
              <m:sty m:val="p"/>
            </m:rPr>
            <m:t>%</m:t>
          </m:r>
          <m:r>
            <m:rPr>
              <m:sty m:val="p"/>
            </m:rPr>
            <m:t>,</m:t>
          </m:r>
        </m:oMath>
      </m:oMathPara>
    </w:p>
    <w:p>
      <w:pPr>
        <w:pStyle w:val="FirstParagraph"/>
      </w:pPr>
      <m:oMathPara>
        <m:oMathParaPr>
          <m:jc m:val="center"/>
        </m:oMathParaPr>
        <m:oMath>
          <m:r>
            <m:rPr>
              <m:sty m:val="p"/>
            </m:rPr>
            <m:t>confidence</m:t>
          </m:r>
          <m:r>
            <m:rPr>
              <m:sty m:val="p"/>
            </m:rPr>
            <m:t>=</m:t>
          </m:r>
          <m:f>
            <m:fPr>
              <m:type m:val="bar"/>
            </m:fPr>
            <m:num>
              <m:r>
                <m:t>5</m:t>
              </m:r>
            </m:num>
            <m:den>
              <m:r>
                <m:t>7</m:t>
              </m:r>
            </m:den>
          </m:f>
          <m:r>
            <m:rPr>
              <m:sty m:val="p"/>
            </m:rPr>
            <m:t>≈</m:t>
          </m:r>
          <m:r>
            <m:t>71.43</m:t>
          </m:r>
          <m:r>
            <m:rPr>
              <m:sty m:val="p"/>
            </m:rPr>
            <m:t>%</m:t>
          </m:r>
          <m:r>
            <m:rPr>
              <m:sty m:val="p"/>
            </m:rPr>
            <m:t>.</m:t>
          </m:r>
        </m:oMath>
      </m:oMathPara>
    </w:p>
    <w:bookmarkEnd w:id="28"/>
    <w:bookmarkStart w:id="29" w:name="bread-rightarrow-butter"/>
    <w:p>
      <w:pPr>
        <w:pStyle w:val="Heading2"/>
      </w:pPr>
      <w:r>
        <w:t xml:space="preserve">3. Bread</w:t>
      </w:r>
      <w:r>
        <w:t xml:space="preserve"> </w:t>
      </w:r>
      <m:oMath>
        <m:r>
          <m:rPr>
            <m:sty m:val="p"/>
          </m:rPr>
          <m:t>→</m:t>
        </m:r>
      </m:oMath>
      <w:r>
        <w:t xml:space="preserve"> </w:t>
      </w:r>
      <w:r>
        <w:t xml:space="preserve">Butter</w:t>
      </w:r>
    </w:p>
    <w:p>
      <w:pPr>
        <w:pStyle w:val="FirstParagraph"/>
      </w:pPr>
      <w:r>
        <w:t xml:space="preserve">Bread and Butter occur together in 4 transactions, while Bread occurs in 7.</w:t>
      </w:r>
    </w:p>
    <w:p>
      <w:pPr>
        <w:pStyle w:val="BodyText"/>
      </w:pPr>
      <m:oMathPara>
        <m:oMathParaPr>
          <m:jc m:val="center"/>
        </m:oMathParaPr>
        <m:oMath>
          <m:r>
            <m:rPr>
              <m:sty m:val="p"/>
            </m:rPr>
            <m:t>support</m:t>
          </m:r>
          <m:r>
            <m:rPr>
              <m:sty m:val="p"/>
            </m:rPr>
            <m:t>=</m:t>
          </m:r>
          <m:f>
            <m:fPr>
              <m:type m:val="bar"/>
            </m:fPr>
            <m:num>
              <m:r>
                <m:t>4</m:t>
              </m:r>
            </m:num>
            <m:den>
              <m:r>
                <m:t>10</m:t>
              </m:r>
            </m:den>
          </m:f>
          <m:r>
            <m:rPr>
              <m:sty m:val="p"/>
            </m:rPr>
            <m:t>=</m:t>
          </m:r>
          <m:r>
            <m:t>40</m:t>
          </m:r>
          <m:r>
            <m:rPr>
              <m:sty m:val="p"/>
            </m:rPr>
            <m:t>%</m:t>
          </m:r>
          <m:r>
            <m:rPr>
              <m:sty m:val="p"/>
            </m:rPr>
            <m:t>,</m:t>
          </m:r>
        </m:oMath>
      </m:oMathPara>
    </w:p>
    <w:p>
      <w:pPr>
        <w:pStyle w:val="FirstParagraph"/>
      </w:pPr>
      <m:oMathPara>
        <m:oMathParaPr>
          <m:jc m:val="center"/>
        </m:oMathParaPr>
        <m:oMath>
          <m:r>
            <m:rPr>
              <m:sty m:val="p"/>
            </m:rPr>
            <m:t>confidence</m:t>
          </m:r>
          <m:r>
            <m:rPr>
              <m:sty m:val="p"/>
            </m:rPr>
            <m:t>=</m:t>
          </m:r>
          <m:f>
            <m:fPr>
              <m:type m:val="bar"/>
            </m:fPr>
            <m:num>
              <m:r>
                <m:t>4</m:t>
              </m:r>
            </m:num>
            <m:den>
              <m:r>
                <m:t>7</m:t>
              </m:r>
            </m:den>
          </m:f>
          <m:r>
            <m:rPr>
              <m:sty m:val="p"/>
            </m:rPr>
            <m:t>≈</m:t>
          </m:r>
          <m:r>
            <m:t>57.14</m:t>
          </m:r>
          <m:r>
            <m:rPr>
              <m:sty m:val="p"/>
            </m:rPr>
            <m:t>%</m:t>
          </m:r>
          <m:r>
            <m:rPr>
              <m:sty m:val="p"/>
            </m:rPr>
            <m:t>.</m:t>
          </m:r>
        </m:oMath>
      </m:oMathPara>
    </w:p>
    <w:bookmarkEnd w:id="29"/>
    <w:bookmarkStart w:id="30" w:name="butter-rightarrow-bread"/>
    <w:p>
      <w:pPr>
        <w:pStyle w:val="Heading2"/>
      </w:pPr>
      <w:r>
        <w:t xml:space="preserve">4. Butter</w:t>
      </w:r>
      <w:r>
        <w:t xml:space="preserve"> </w:t>
      </w:r>
      <m:oMath>
        <m:r>
          <m:rPr>
            <m:sty m:val="p"/>
          </m:rPr>
          <m:t>→</m:t>
        </m:r>
      </m:oMath>
      <w:r>
        <w:t xml:space="preserve"> </w:t>
      </w:r>
      <w:r>
        <w:t xml:space="preserve">Bread</w:t>
      </w:r>
    </w:p>
    <w:p>
      <w:pPr>
        <w:pStyle w:val="FirstParagraph"/>
      </w:pPr>
      <w:r>
        <w:t xml:space="preserve">The joint support is still 40%, but Butter occurs in only 5 transactions.</w:t>
      </w:r>
    </w:p>
    <w:p>
      <w:pPr>
        <w:pStyle w:val="BodyText"/>
      </w:pPr>
      <m:oMathPara>
        <m:oMathParaPr>
          <m:jc m:val="center"/>
        </m:oMathParaPr>
        <m:oMath>
          <m:r>
            <m:rPr>
              <m:sty m:val="p"/>
            </m:rPr>
            <m:t>confidence</m:t>
          </m:r>
          <m:r>
            <m:rPr>
              <m:sty m:val="p"/>
            </m:rPr>
            <m:t>=</m:t>
          </m:r>
          <m:f>
            <m:fPr>
              <m:type m:val="bar"/>
            </m:fPr>
            <m:num>
              <m:r>
                <m:t>4</m:t>
              </m:r>
            </m:num>
            <m:den>
              <m:r>
                <m:t>5</m:t>
              </m:r>
            </m:den>
          </m:f>
          <m:r>
            <m:rPr>
              <m:sty m:val="p"/>
            </m:rPr>
            <m:t>=</m:t>
          </m:r>
          <m:r>
            <m:t>80</m:t>
          </m:r>
          <m:r>
            <m:rPr>
              <m:sty m:val="p"/>
            </m:rPr>
            <m:t>%</m:t>
          </m:r>
          <m:r>
            <m:rPr>
              <m:sty m:val="p"/>
            </m:rPr>
            <m:t>.</m:t>
          </m:r>
        </m:oMath>
      </m:oMathPara>
    </w:p>
    <w:p>
      <w:pPr>
        <w:pStyle w:val="FirstParagraph"/>
      </w:pPr>
      <w:r>
        <w:t xml:space="preserve">This pair illustrates why reversing a rule leaves support unchanged but can change confidence.</w:t>
      </w:r>
    </w:p>
    <w:bookmarkEnd w:id="30"/>
    <w:bookmarkStart w:id="31" w:name="bread-milk-rightarrow-butter"/>
    <w:p>
      <w:pPr>
        <w:pStyle w:val="Heading2"/>
      </w:pPr>
      <w:r>
        <w:t xml:space="preserve">5. {Bread, Milk}</w:t>
      </w:r>
      <w:r>
        <w:t xml:space="preserve"> </w:t>
      </w:r>
      <m:oMath>
        <m:r>
          <m:rPr>
            <m:sty m:val="p"/>
          </m:rPr>
          <m:t>→</m:t>
        </m:r>
      </m:oMath>
      <w:r>
        <w:t xml:space="preserve"> </w:t>
      </w:r>
      <w:r>
        <w:t xml:space="preserve">Butter</w:t>
      </w:r>
    </w:p>
    <w:p>
      <w:pPr>
        <w:pStyle w:val="FirstParagraph"/>
      </w:pPr>
      <w:r>
        <w:t xml:space="preserve">The three-item set {Bread, Milk, Butter} occurs in 3 transactions. The antecedent {Bread, Milk} occurs in 5.</w:t>
      </w:r>
    </w:p>
    <w:p>
      <w:pPr>
        <w:pStyle w:val="BodyText"/>
      </w:pPr>
      <m:oMathPara>
        <m:oMathParaPr>
          <m:jc m:val="center"/>
        </m:oMathParaPr>
        <m:oMath>
          <m:r>
            <m:rPr>
              <m:sty m:val="p"/>
            </m:rPr>
            <m:t>support</m:t>
          </m:r>
          <m:r>
            <m:rPr>
              <m:sty m:val="p"/>
            </m:rPr>
            <m:t>=</m:t>
          </m:r>
          <m:f>
            <m:fPr>
              <m:type m:val="bar"/>
            </m:fPr>
            <m:num>
              <m:r>
                <m:t>3</m:t>
              </m:r>
            </m:num>
            <m:den>
              <m:r>
                <m:t>10</m:t>
              </m:r>
            </m:den>
          </m:f>
          <m:r>
            <m:rPr>
              <m:sty m:val="p"/>
            </m:rPr>
            <m:t>=</m:t>
          </m:r>
          <m:r>
            <m:t>30</m:t>
          </m:r>
          <m:r>
            <m:rPr>
              <m:sty m:val="p"/>
            </m:rPr>
            <m:t>%</m:t>
          </m:r>
          <m:r>
            <m:rPr>
              <m:sty m:val="p"/>
            </m:rPr>
            <m:t>,</m:t>
          </m:r>
        </m:oMath>
      </m:oMathPara>
    </w:p>
    <w:p>
      <w:pPr>
        <w:pStyle w:val="FirstParagraph"/>
      </w:pPr>
      <m:oMathPara>
        <m:oMathParaPr>
          <m:jc m:val="center"/>
        </m:oMathParaPr>
        <m:oMath>
          <m:r>
            <m:rPr>
              <m:sty m:val="p"/>
            </m:rPr>
            <m:t>confidence</m:t>
          </m:r>
          <m:r>
            <m:rPr>
              <m:sty m:val="p"/>
            </m:rPr>
            <m:t>=</m:t>
          </m:r>
          <m:f>
            <m:fPr>
              <m:type m:val="bar"/>
            </m:fPr>
            <m:num>
              <m:r>
                <m:t>3</m:t>
              </m:r>
            </m:num>
            <m:den>
              <m:r>
                <m:t>5</m:t>
              </m:r>
            </m:den>
          </m:f>
          <m:r>
            <m:rPr>
              <m:sty m:val="p"/>
            </m:rPr>
            <m:t>=</m:t>
          </m:r>
          <m:r>
            <m:t>60</m:t>
          </m:r>
          <m:r>
            <m:rPr>
              <m:sty m:val="p"/>
            </m:rPr>
            <m:t>%</m:t>
          </m:r>
          <m:r>
            <m:rPr>
              <m:sty m:val="p"/>
            </m:rPr>
            <m:t>.</m:t>
          </m:r>
        </m:oMath>
      </m:oMathPara>
    </w:p>
    <w:bookmarkEnd w:id="31"/>
    <w:bookmarkStart w:id="32" w:name="coffee-rightarrow-eggs"/>
    <w:p>
      <w:pPr>
        <w:pStyle w:val="Heading2"/>
      </w:pPr>
      <w:r>
        <w:t xml:space="preserve">6. Coffee</w:t>
      </w:r>
      <w:r>
        <w:t xml:space="preserve"> </w:t>
      </w:r>
      <m:oMath>
        <m:r>
          <m:rPr>
            <m:sty m:val="p"/>
          </m:rPr>
          <m:t>→</m:t>
        </m:r>
      </m:oMath>
      <w:r>
        <w:t xml:space="preserve"> </w:t>
      </w:r>
      <w:r>
        <w:t xml:space="preserve">Eggs</w:t>
      </w:r>
    </w:p>
    <w:p>
      <w:pPr>
        <w:pStyle w:val="FirstParagraph"/>
      </w:pPr>
      <w:r>
        <w:t xml:space="preserve">Coffee and Eggs occur together only in T10, while Coffee occurs in T9 and T10.</w:t>
      </w:r>
    </w:p>
    <w:p>
      <w:pPr>
        <w:pStyle w:val="BodyText"/>
      </w:pPr>
      <m:oMathPara>
        <m:oMathParaPr>
          <m:jc m:val="center"/>
        </m:oMathParaPr>
        <m:oMath>
          <m:r>
            <m:rPr>
              <m:sty m:val="p"/>
            </m:rPr>
            <m:t>support</m:t>
          </m:r>
          <m:r>
            <m:rPr>
              <m:sty m:val="p"/>
            </m:rPr>
            <m:t>=</m:t>
          </m:r>
          <m:f>
            <m:fPr>
              <m:type m:val="bar"/>
            </m:fPr>
            <m:num>
              <m:r>
                <m:t>1</m:t>
              </m:r>
            </m:num>
            <m:den>
              <m:r>
                <m:t>10</m:t>
              </m:r>
            </m:den>
          </m:f>
          <m:r>
            <m:rPr>
              <m:sty m:val="p"/>
            </m:rPr>
            <m:t>=</m:t>
          </m:r>
          <m:r>
            <m:t>10</m:t>
          </m:r>
          <m:r>
            <m:rPr>
              <m:sty m:val="p"/>
            </m:rPr>
            <m:t>%</m:t>
          </m:r>
          <m:r>
            <m:rPr>
              <m:sty m:val="p"/>
            </m:rPr>
            <m:t>,</m:t>
          </m:r>
        </m:oMath>
      </m:oMathPara>
    </w:p>
    <w:p>
      <w:pPr>
        <w:pStyle w:val="FirstParagraph"/>
      </w:pPr>
      <m:oMathPara>
        <m:oMathParaPr>
          <m:jc m:val="center"/>
        </m:oMathParaPr>
        <m:oMath>
          <m:r>
            <m:rPr>
              <m:sty m:val="p"/>
            </m:rPr>
            <m:t>confidence</m:t>
          </m:r>
          <m:r>
            <m:rPr>
              <m:sty m:val="p"/>
            </m:rPr>
            <m:t>=</m:t>
          </m:r>
          <m:f>
            <m:fPr>
              <m:type m:val="bar"/>
            </m:fPr>
            <m:num>
              <m:r>
                <m:t>1</m:t>
              </m:r>
            </m:num>
            <m:den>
              <m:r>
                <m:t>2</m:t>
              </m:r>
            </m:den>
          </m:f>
          <m:r>
            <m:rPr>
              <m:sty m:val="p"/>
            </m:rPr>
            <m:t>=</m:t>
          </m:r>
          <m:r>
            <m:t>50</m:t>
          </m:r>
          <m:r>
            <m:rPr>
              <m:sty m:val="p"/>
            </m:rPr>
            <m:t>%</m:t>
          </m:r>
          <m:r>
            <m:rPr>
              <m:sty m:val="p"/>
            </m:rPr>
            <m:t>.</m:t>
          </m:r>
        </m:oMath>
      </m:oMathPara>
    </w:p>
    <w:p>
      <w:pPr>
        <w:pStyle w:val="FirstParagraph"/>
      </w:pPr>
      <w:r>
        <w:t xml:space="preserve">The results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Rule</w:t>
            </w:r>
          </w:p>
        </w:tc>
        <w:tc>
          <w:tcPr/>
          <w:p>
            <w:pPr>
              <w:pStyle w:val="Compact"/>
              <w:jc w:val="right"/>
            </w:pPr>
            <w:r>
              <w:t xml:space="preserve">Support</w:t>
            </w:r>
          </w:p>
        </w:tc>
        <w:tc>
          <w:tcPr/>
          <w:p>
            <w:pPr>
              <w:pStyle w:val="Compact"/>
              <w:jc w:val="right"/>
            </w:pPr>
            <w:r>
              <w:t xml:space="preserve">Confidence</w:t>
            </w:r>
          </w:p>
        </w:tc>
      </w:tr>
      <w:tr>
        <w:tc>
          <w:tcPr/>
          <w:p>
            <w:pPr>
              <w:pStyle w:val="Compact"/>
              <w:jc w:val="left"/>
            </w:pPr>
            <w:r>
              <w:t xml:space="preserve">{Bread}</w:t>
            </w:r>
            <w:r>
              <w:t xml:space="preserve"> </w:t>
            </w:r>
            <m:oMath>
              <m:r>
                <m:rPr>
                  <m:sty m:val="p"/>
                </m:rPr>
                <m:t>→</m:t>
              </m:r>
            </m:oMath>
            <w:r>
              <w:t xml:space="preserve"> </w:t>
            </w:r>
            <w:r>
              <w:t xml:space="preserve">{Milk}</w:t>
            </w:r>
          </w:p>
        </w:tc>
        <w:tc>
          <w:tcPr/>
          <w:p>
            <w:pPr>
              <w:pStyle w:val="Compact"/>
              <w:jc w:val="right"/>
            </w:pPr>
            <w:r>
              <w:t xml:space="preserve">50%</w:t>
            </w:r>
          </w:p>
        </w:tc>
        <w:tc>
          <w:tcPr/>
          <w:p>
            <w:pPr>
              <w:pStyle w:val="Compact"/>
              <w:jc w:val="right"/>
            </w:pPr>
            <w:r>
              <w:t xml:space="preserve">71.43%</w:t>
            </w:r>
          </w:p>
        </w:tc>
      </w:tr>
      <w:tr>
        <w:tc>
          <w:tcPr/>
          <w:p>
            <w:pPr>
              <w:pStyle w:val="Compact"/>
              <w:jc w:val="left"/>
            </w:pPr>
            <w:r>
              <w:t xml:space="preserve">{Milk}</w:t>
            </w:r>
            <w:r>
              <w:t xml:space="preserve"> </w:t>
            </w:r>
            <m:oMath>
              <m:r>
                <m:rPr>
                  <m:sty m:val="p"/>
                </m:rPr>
                <m:t>→</m:t>
              </m:r>
            </m:oMath>
            <w:r>
              <w:t xml:space="preserve"> </w:t>
            </w:r>
            <w:r>
              <w:t xml:space="preserve">{Bread}</w:t>
            </w:r>
          </w:p>
        </w:tc>
        <w:tc>
          <w:tcPr/>
          <w:p>
            <w:pPr>
              <w:pStyle w:val="Compact"/>
              <w:jc w:val="right"/>
            </w:pPr>
            <w:r>
              <w:t xml:space="preserve">50%</w:t>
            </w:r>
          </w:p>
        </w:tc>
        <w:tc>
          <w:tcPr/>
          <w:p>
            <w:pPr>
              <w:pStyle w:val="Compact"/>
              <w:jc w:val="right"/>
            </w:pPr>
            <w:r>
              <w:t xml:space="preserve">71.43%</w:t>
            </w:r>
          </w:p>
        </w:tc>
      </w:tr>
      <w:tr>
        <w:tc>
          <w:tcPr/>
          <w:p>
            <w:pPr>
              <w:pStyle w:val="Compact"/>
              <w:jc w:val="left"/>
            </w:pPr>
            <w:r>
              <w:t xml:space="preserve">{Bread}</w:t>
            </w:r>
            <w:r>
              <w:t xml:space="preserve"> </w:t>
            </w:r>
            <m:oMath>
              <m:r>
                <m:rPr>
                  <m:sty m:val="p"/>
                </m:rPr>
                <m:t>→</m:t>
              </m:r>
            </m:oMath>
            <w:r>
              <w:t xml:space="preserve"> </w:t>
            </w:r>
            <w:r>
              <w:t xml:space="preserve">{Butter}</w:t>
            </w:r>
          </w:p>
        </w:tc>
        <w:tc>
          <w:tcPr/>
          <w:p>
            <w:pPr>
              <w:pStyle w:val="Compact"/>
              <w:jc w:val="right"/>
            </w:pPr>
            <w:r>
              <w:t xml:space="preserve">40%</w:t>
            </w:r>
          </w:p>
        </w:tc>
        <w:tc>
          <w:tcPr/>
          <w:p>
            <w:pPr>
              <w:pStyle w:val="Compact"/>
              <w:jc w:val="right"/>
            </w:pPr>
            <w:r>
              <w:t xml:space="preserve">57.14%</w:t>
            </w:r>
          </w:p>
        </w:tc>
      </w:tr>
      <w:tr>
        <w:tc>
          <w:tcPr/>
          <w:p>
            <w:pPr>
              <w:pStyle w:val="Compact"/>
              <w:jc w:val="left"/>
            </w:pPr>
            <w:r>
              <w:t xml:space="preserve">{Butter}</w:t>
            </w:r>
            <w:r>
              <w:t xml:space="preserve"> </w:t>
            </w:r>
            <m:oMath>
              <m:r>
                <m:rPr>
                  <m:sty m:val="p"/>
                </m:rPr>
                <m:t>→</m:t>
              </m:r>
            </m:oMath>
            <w:r>
              <w:t xml:space="preserve"> </w:t>
            </w:r>
            <w:r>
              <w:t xml:space="preserve">{Bread}</w:t>
            </w:r>
          </w:p>
        </w:tc>
        <w:tc>
          <w:tcPr/>
          <w:p>
            <w:pPr>
              <w:pStyle w:val="Compact"/>
              <w:jc w:val="right"/>
            </w:pPr>
            <w:r>
              <w:t xml:space="preserve">40%</w:t>
            </w:r>
          </w:p>
        </w:tc>
        <w:tc>
          <w:tcPr/>
          <w:p>
            <w:pPr>
              <w:pStyle w:val="Compact"/>
              <w:jc w:val="right"/>
            </w:pPr>
            <w:r>
              <w:t xml:space="preserve">80%</w:t>
            </w:r>
          </w:p>
        </w:tc>
      </w:tr>
      <w:tr>
        <w:tc>
          <w:tcPr/>
          <w:p>
            <w:pPr>
              <w:pStyle w:val="Compact"/>
              <w:jc w:val="left"/>
            </w:pPr>
            <w:r>
              <w:t xml:space="preserve">{Bread, Milk}</w:t>
            </w:r>
            <w:r>
              <w:t xml:space="preserve"> </w:t>
            </w:r>
            <m:oMath>
              <m:r>
                <m:rPr>
                  <m:sty m:val="p"/>
                </m:rPr>
                <m:t>→</m:t>
              </m:r>
            </m:oMath>
            <w:r>
              <w:t xml:space="preserve"> </w:t>
            </w:r>
            <w:r>
              <w:t xml:space="preserve">{Butter}</w:t>
            </w:r>
          </w:p>
        </w:tc>
        <w:tc>
          <w:tcPr/>
          <w:p>
            <w:pPr>
              <w:pStyle w:val="Compact"/>
              <w:jc w:val="right"/>
            </w:pPr>
            <w:r>
              <w:t xml:space="preserve">30%</w:t>
            </w:r>
          </w:p>
        </w:tc>
        <w:tc>
          <w:tcPr/>
          <w:p>
            <w:pPr>
              <w:pStyle w:val="Compact"/>
              <w:jc w:val="right"/>
            </w:pPr>
            <w:r>
              <w:t xml:space="preserve">60%</w:t>
            </w:r>
          </w:p>
        </w:tc>
      </w:tr>
      <w:tr>
        <w:tc>
          <w:tcPr/>
          <w:p>
            <w:pPr>
              <w:pStyle w:val="Compact"/>
              <w:jc w:val="left"/>
            </w:pPr>
            <w:r>
              <w:t xml:space="preserve">{Coffee}</w:t>
            </w:r>
            <w:r>
              <w:t xml:space="preserve"> </w:t>
            </w:r>
            <m:oMath>
              <m:r>
                <m:rPr>
                  <m:sty m:val="p"/>
                </m:rPr>
                <m:t>→</m:t>
              </m:r>
            </m:oMath>
            <w:r>
              <w:t xml:space="preserve"> </w:t>
            </w:r>
            <w:r>
              <w:t xml:space="preserve">{Eggs}</w:t>
            </w:r>
          </w:p>
        </w:tc>
        <w:tc>
          <w:tcPr/>
          <w:p>
            <w:pPr>
              <w:pStyle w:val="Compact"/>
              <w:jc w:val="right"/>
            </w:pPr>
            <w:r>
              <w:t xml:space="preserve">10%</w:t>
            </w:r>
          </w:p>
        </w:tc>
        <w:tc>
          <w:tcPr/>
          <w:p>
            <w:pPr>
              <w:pStyle w:val="Compact"/>
              <w:jc w:val="right"/>
            </w:pPr>
            <w:r>
              <w:t xml:space="preserve">50%</w:t>
            </w:r>
          </w:p>
        </w:tc>
      </w:tr>
    </w:tbl>
    <w:bookmarkEnd w:id="32"/>
    <w:bookmarkStart w:id="33" w:name="X3fdf819abe90225ff916da3bfa93e95d6d45ffb"/>
    <w:p>
      <w:pPr>
        <w:pStyle w:val="Heading2"/>
      </w:pPr>
      <w:r>
        <w:t xml:space="preserve">7–8. Comparing Bread</w:t>
      </w:r>
      <w:r>
        <w:t xml:space="preserve"> </w:t>
      </w:r>
      <m:oMath>
        <m:r>
          <m:rPr>
            <m:sty m:val="p"/>
          </m:rPr>
          <m:t>→</m:t>
        </m:r>
      </m:oMath>
      <w:r>
        <w:t xml:space="preserve"> </w:t>
      </w:r>
      <w:r>
        <w:t xml:space="preserve">Milk and Milk</w:t>
      </w:r>
      <w:r>
        <w:t xml:space="preserve"> </w:t>
      </w:r>
      <m:oMath>
        <m:r>
          <m:rPr>
            <m:sty m:val="p"/>
          </m:rPr>
          <m:t>→</m:t>
        </m:r>
      </m:oMath>
      <w:r>
        <w:t xml:space="preserve"> </w:t>
      </w:r>
      <w:r>
        <w:t xml:space="preserve">Bread</w:t>
      </w:r>
    </w:p>
    <w:p>
      <w:pPr>
        <w:pStyle w:val="FirstParagraph"/>
      </w:pPr>
      <w:r>
        <w:t xml:space="preserve">The two rules have the same support because both use the same union {Bread, Milk}. In this particular dataset, they also happen to have the same confidence because Bread and Milk each have support 70%.</w:t>
      </w:r>
    </w:p>
    <w:p>
      <w:pPr>
        <w:pStyle w:val="BodyText"/>
      </w:pPr>
      <w:r>
        <w:t xml:space="preserve">In general, reversing a rule does</w:t>
      </w:r>
      <w:r>
        <w:t xml:space="preserve"> </w:t>
      </w:r>
      <w:r>
        <w:rPr>
          <w:b/>
          <w:bCs/>
        </w:rPr>
        <w:t xml:space="preserve">not</w:t>
      </w:r>
      <w:r>
        <w:t xml:space="preserve"> </w:t>
      </w:r>
      <w:r>
        <w:t xml:space="preserve">preserve confidence. If</w:t>
      </w:r>
      <w:r>
        <w:t xml:space="preserve"> </w:t>
      </w:r>
      <m:oMath>
        <m:r>
          <m:rPr>
            <m:sty m:val="p"/>
          </m:rPr>
          <m:t>support</m:t>
        </m:r>
        <m:r>
          <m:rPr>
            <m:sty m:val="p"/>
          </m:rPr>
          <m:t>(</m:t>
        </m:r>
        <m:r>
          <m:t>X</m:t>
        </m:r>
        <m:r>
          <m:rPr>
            <m:sty m:val="p"/>
          </m:rPr>
          <m:t>)</m:t>
        </m:r>
        <m:r>
          <m:rPr>
            <m:sty m:val="p"/>
          </m:rPr>
          <m:t>≠</m:t>
        </m:r>
        <m:r>
          <m:rPr>
            <m:sty m:val="p"/>
          </m:rPr>
          <m:t>support</m:t>
        </m:r>
        <m:r>
          <m:rPr>
            <m:sty m:val="p"/>
          </m:rPr>
          <m:t>(</m:t>
        </m:r>
        <m:r>
          <m:t>Y</m:t>
        </m:r>
        <m:r>
          <m:rPr>
            <m:sty m:val="p"/>
          </m:rPr>
          <m:t>)</m:t>
        </m:r>
      </m:oMath>
      <w:r>
        <w:t xml:space="preserve">, then</w:t>
      </w:r>
    </w:p>
    <w:p>
      <w:pPr>
        <w:pStyle w:val="BodyText"/>
      </w:pPr>
      <m:oMathPara>
        <m:oMathParaPr>
          <m:jc m:val="center"/>
        </m:oMathParaPr>
        <m:oMath>
          <m:f>
            <m:fPr>
              <m:type m:val="bar"/>
            </m:fPr>
            <m:num>
              <m:r>
                <m:rPr>
                  <m:sty m:val="p"/>
                </m:rPr>
                <m:t>support</m:t>
              </m:r>
              <m:r>
                <m:rPr>
                  <m:sty m:val="p"/>
                </m:rPr>
                <m:t>(</m:t>
              </m:r>
              <m:r>
                <m:t>X</m:t>
              </m:r>
              <m:r>
                <m:rPr>
                  <m:sty m:val="p"/>
                </m:rPr>
                <m:t>∪</m:t>
              </m:r>
              <m:r>
                <m:t>Y</m:t>
              </m:r>
              <m:r>
                <m:rPr>
                  <m:sty m:val="p"/>
                </m:rPr>
                <m:t>)</m:t>
              </m:r>
            </m:num>
            <m:den>
              <m:r>
                <m:rPr>
                  <m:sty m:val="p"/>
                </m:rPr>
                <m:t>support</m:t>
              </m:r>
              <m:r>
                <m:rPr>
                  <m:sty m:val="p"/>
                </m:rPr>
                <m:t>(</m:t>
              </m:r>
              <m:r>
                <m:t>X</m:t>
              </m:r>
              <m:r>
                <m:rPr>
                  <m:sty m:val="p"/>
                </m:rPr>
                <m:t>)</m:t>
              </m:r>
            </m:den>
          </m:f>
          <m:r>
            <m:rPr>
              <m:sty m:val="p"/>
            </m:rPr>
            <m:t>≠</m:t>
          </m:r>
          <m:f>
            <m:fPr>
              <m:type m:val="bar"/>
            </m:fPr>
            <m:num>
              <m:r>
                <m:rPr>
                  <m:sty m:val="p"/>
                </m:rPr>
                <m:t>support</m:t>
              </m:r>
              <m:r>
                <m:rPr>
                  <m:sty m:val="p"/>
                </m:rPr>
                <m:t>(</m:t>
              </m:r>
              <m:r>
                <m:t>X</m:t>
              </m:r>
              <m:r>
                <m:rPr>
                  <m:sty m:val="p"/>
                </m:rPr>
                <m:t>∪</m:t>
              </m:r>
              <m:r>
                <m:t>Y</m:t>
              </m:r>
              <m:r>
                <m:rPr>
                  <m:sty m:val="p"/>
                </m:rPr>
                <m:t>)</m:t>
              </m:r>
            </m:num>
            <m:den>
              <m:r>
                <m:rPr>
                  <m:sty m:val="p"/>
                </m:rPr>
                <m:t>support</m:t>
              </m:r>
              <m:r>
                <m:rPr>
                  <m:sty m:val="p"/>
                </m:rPr>
                <m:t>(</m:t>
              </m:r>
              <m:r>
                <m:t>Y</m:t>
              </m:r>
              <m:r>
                <m:rPr>
                  <m:sty m:val="p"/>
                </m:rPr>
                <m:t>)</m:t>
              </m:r>
            </m:den>
          </m:f>
          <m:r>
            <m:rPr>
              <m:sty m:val="p"/>
            </m:rPr>
            <m:t>.</m:t>
          </m:r>
        </m:oMath>
      </m:oMathPara>
    </w:p>
    <w:bookmarkEnd w:id="33"/>
    <w:bookmarkEnd w:id="34"/>
    <w:bookmarkStart w:id="35" w:name="Xff8ff48c60188feb66c33cce805e75f3cb7c8bd"/>
    <w:p>
      <w:pPr>
        <w:pStyle w:val="Heading1"/>
      </w:pPr>
      <w:r>
        <w:t xml:space="preserve">10.3 Selecting rules using support and confidence ✎</w:t>
      </w:r>
    </w:p>
    <w:p>
      <w:pPr>
        <w:pStyle w:val="FirstParagraph"/>
      </w:pPr>
      <w:r>
        <w:t xml:space="preserve">The thresholds are</w:t>
      </w:r>
    </w:p>
    <w:p>
      <w:pPr>
        <w:pStyle w:val="BodyText"/>
      </w:pPr>
      <m:oMathPara>
        <m:oMathParaPr>
          <m:jc m:val="center"/>
        </m:oMathParaPr>
        <m:oMath>
          <m:r>
            <m:rPr>
              <m:sty m:val="p"/>
            </m:rPr>
            <m:t>minsup</m:t>
          </m:r>
          <m:r>
            <m:rPr>
              <m:sty m:val="p"/>
            </m:rPr>
            <m:t>=</m:t>
          </m:r>
          <m:r>
            <m:t>30</m:t>
          </m:r>
          <m:r>
            <m:rPr>
              <m:sty m:val="p"/>
            </m:rPr>
            <m:t>%</m:t>
          </m:r>
          <m:r>
            <m:rPr>
              <m:sty m:val="p"/>
            </m:rPr>
            <m:t>,</m:t>
          </m:r>
          <m:r>
            <m:t>  </m:t>
          </m:r>
          <m:r>
            <m:rPr>
              <m:sty m:val="p"/>
            </m:rPr>
            <m:t>minconf</m:t>
          </m:r>
          <m:r>
            <m:rPr>
              <m:sty m:val="p"/>
            </m:rPr>
            <m:t>=</m:t>
          </m:r>
          <m:r>
            <m:t>70</m:t>
          </m:r>
          <m:r>
            <m:rPr>
              <m:sty m:val="p"/>
            </m:rPr>
            <m:t>%</m:t>
          </m:r>
          <m:r>
            <m:rPr>
              <m:sty m:val="p"/>
            </m:rPr>
            <m:t>.</m:t>
          </m:r>
        </m:oMath>
      </m:oMathPara>
    </w:p>
    <w:p>
      <w:pPr>
        <w:pStyle w:val="FirstParagraph"/>
      </w:pPr>
      <w:r>
        <w:t xml:space="preserve">A rule is valid only if it satisfies</w:t>
      </w:r>
      <w:r>
        <w:t xml:space="preserve"> </w:t>
      </w:r>
      <w:r>
        <w:rPr>
          <w:b/>
          <w:bCs/>
        </w:rPr>
        <w:t xml:space="preserve">both</w:t>
      </w:r>
      <w:r>
        <w:t xml:space="preserve"> </w:t>
      </w:r>
      <w:r>
        <w:t xml:space="preserve">conditions.</w:t>
      </w:r>
    </w:p>
    <w:tbl>
      <w:tblPr>
        <w:tblStyle w:val="Table"/>
        <w:tblW w:type="pct" w:w="5000"/>
        <w:tblLayout w:type="fixed"/>
        <w:tblLook w:firstRow="1" w:lastRow="0" w:firstColumn="0" w:lastColumn="0" w:noHBand="0" w:noVBand="0" w:val="0020"/>
      </w:tblPr>
      <w:tblGrid>
        <w:gridCol w:w="3090"/>
        <w:gridCol w:w="772"/>
        <w:gridCol w:w="901"/>
        <w:gridCol w:w="1159"/>
        <w:gridCol w:w="1416"/>
        <w:gridCol w:w="579"/>
      </w:tblGrid>
      <w:tr>
        <w:trPr>
          <w:tblHeader w:val="on"/>
        </w:trPr>
        <w:tc>
          <w:tcPr/>
          <w:p>
            <w:pPr>
              <w:pStyle w:val="Compact"/>
              <w:jc w:val="left"/>
            </w:pPr>
            <w:r>
              <w:t xml:space="preserve">Rule</w:t>
            </w:r>
          </w:p>
        </w:tc>
        <w:tc>
          <w:tcPr/>
          <w:p>
            <w:pPr>
              <w:pStyle w:val="Compact"/>
              <w:jc w:val="right"/>
            </w:pPr>
            <w:r>
              <w:t xml:space="preserve">Support</w:t>
            </w:r>
          </w:p>
        </w:tc>
        <w:tc>
          <w:tcPr/>
          <w:p>
            <w:pPr>
              <w:pStyle w:val="Compact"/>
              <w:jc w:val="right"/>
            </w:pPr>
            <w:r>
              <w:t xml:space="preserve">Confidence</w:t>
            </w:r>
          </w:p>
        </w:tc>
        <w:tc>
          <w:tcPr/>
          <w:p>
            <w:pPr>
              <w:pStyle w:val="Compact"/>
              <w:jc w:val="center"/>
            </w:pPr>
            <w:r>
              <w:t xml:space="preserve">Support &gt;=30%?</w:t>
            </w:r>
          </w:p>
        </w:tc>
        <w:tc>
          <w:tcPr/>
          <w:p>
            <w:pPr>
              <w:pStyle w:val="Compact"/>
              <w:jc w:val="center"/>
            </w:pPr>
            <w:r>
              <w:t xml:space="preserve">Confidence &gt;=70%?</w:t>
            </w:r>
          </w:p>
        </w:tc>
        <w:tc>
          <w:tcPr/>
          <w:p>
            <w:pPr>
              <w:pStyle w:val="Compact"/>
              <w:jc w:val="center"/>
            </w:pPr>
            <w:r>
              <w:t xml:space="preserve">Valid?</w:t>
            </w:r>
          </w:p>
        </w:tc>
      </w:tr>
      <w:tr>
        <w:tc>
          <w:tcPr/>
          <w:p>
            <w:pPr>
              <w:pStyle w:val="Compact"/>
              <w:jc w:val="left"/>
            </w:pPr>
            <w:r>
              <w:t xml:space="preserve">Bread</w:t>
            </w:r>
            <w:r>
              <w:t xml:space="preserve"> </w:t>
            </w:r>
            <m:oMath>
              <m:r>
                <m:rPr>
                  <m:sty m:val="p"/>
                </m:rPr>
                <m:t>→</m:t>
              </m:r>
            </m:oMath>
            <w:r>
              <w:t xml:space="preserve"> </w:t>
            </w:r>
            <w:r>
              <w:t xml:space="preserve">Milk</w:t>
            </w:r>
          </w:p>
        </w:tc>
        <w:tc>
          <w:tcPr/>
          <w:p>
            <w:pPr>
              <w:pStyle w:val="Compact"/>
              <w:jc w:val="right"/>
            </w:pPr>
            <w:r>
              <w:t xml:space="preserve">50%</w:t>
            </w:r>
          </w:p>
        </w:tc>
        <w:tc>
          <w:tcPr/>
          <w:p>
            <w:pPr>
              <w:pStyle w:val="Compact"/>
              <w:jc w:val="right"/>
            </w:pPr>
            <w:r>
              <w:t xml:space="preserve">71.43%</w:t>
            </w:r>
          </w:p>
        </w:tc>
        <w:tc>
          <w:tcPr/>
          <w:p>
            <w:pPr>
              <w:pStyle w:val="Compact"/>
              <w:jc w:val="center"/>
            </w:pPr>
            <w:r>
              <w:t xml:space="preserve">Yes</w:t>
            </w:r>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Milk</w:t>
            </w:r>
            <w:r>
              <w:t xml:space="preserve"> </w:t>
            </w:r>
            <m:oMath>
              <m:r>
                <m:rPr>
                  <m:sty m:val="p"/>
                </m:rPr>
                <m:t>→</m:t>
              </m:r>
            </m:oMath>
            <w:r>
              <w:t xml:space="preserve"> </w:t>
            </w:r>
            <w:r>
              <w:t xml:space="preserve">Bread</w:t>
            </w:r>
          </w:p>
        </w:tc>
        <w:tc>
          <w:tcPr/>
          <w:p>
            <w:pPr>
              <w:pStyle w:val="Compact"/>
              <w:jc w:val="right"/>
            </w:pPr>
            <w:r>
              <w:t xml:space="preserve">50%</w:t>
            </w:r>
          </w:p>
        </w:tc>
        <w:tc>
          <w:tcPr/>
          <w:p>
            <w:pPr>
              <w:pStyle w:val="Compact"/>
              <w:jc w:val="right"/>
            </w:pPr>
            <w:r>
              <w:t xml:space="preserve">71.43%</w:t>
            </w:r>
          </w:p>
        </w:tc>
        <w:tc>
          <w:tcPr/>
          <w:p>
            <w:pPr>
              <w:pStyle w:val="Compact"/>
              <w:jc w:val="center"/>
            </w:pPr>
            <w:r>
              <w:t xml:space="preserve">Yes</w:t>
            </w:r>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Bread</w:t>
            </w:r>
            <w:r>
              <w:t xml:space="preserve"> </w:t>
            </w:r>
            <m:oMath>
              <m:r>
                <m:rPr>
                  <m:sty m:val="p"/>
                </m:rPr>
                <m:t>→</m:t>
              </m:r>
            </m:oMath>
            <w:r>
              <w:t xml:space="preserve"> </w:t>
            </w:r>
            <w:r>
              <w:t xml:space="preserve">Butter</w:t>
            </w:r>
          </w:p>
        </w:tc>
        <w:tc>
          <w:tcPr/>
          <w:p>
            <w:pPr>
              <w:pStyle w:val="Compact"/>
              <w:jc w:val="right"/>
            </w:pPr>
            <w:r>
              <w:t xml:space="preserve">40%</w:t>
            </w:r>
          </w:p>
        </w:tc>
        <w:tc>
          <w:tcPr/>
          <w:p>
            <w:pPr>
              <w:pStyle w:val="Compact"/>
              <w:jc w:val="right"/>
            </w:pPr>
            <w:r>
              <w:t xml:space="preserve">57.14%</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Butter</w:t>
            </w:r>
            <w:r>
              <w:t xml:space="preserve"> </w:t>
            </w:r>
            <m:oMath>
              <m:r>
                <m:rPr>
                  <m:sty m:val="p"/>
                </m:rPr>
                <m:t>→</m:t>
              </m:r>
            </m:oMath>
            <w:r>
              <w:t xml:space="preserve"> </w:t>
            </w:r>
            <w:r>
              <w:t xml:space="preserve">Bread</w:t>
            </w:r>
          </w:p>
        </w:tc>
        <w:tc>
          <w:tcPr/>
          <w:p>
            <w:pPr>
              <w:pStyle w:val="Compact"/>
              <w:jc w:val="right"/>
            </w:pPr>
            <w:r>
              <w:t xml:space="preserve">40%</w:t>
            </w:r>
          </w:p>
        </w:tc>
        <w:tc>
          <w:tcPr/>
          <w:p>
            <w:pPr>
              <w:pStyle w:val="Compact"/>
              <w:jc w:val="right"/>
            </w:pPr>
            <w:r>
              <w:t xml:space="preserve">80%</w:t>
            </w:r>
          </w:p>
        </w:tc>
        <w:tc>
          <w:tcPr/>
          <w:p>
            <w:pPr>
              <w:pStyle w:val="Compact"/>
              <w:jc w:val="center"/>
            </w:pPr>
            <w:r>
              <w:t xml:space="preserve">Yes</w:t>
            </w:r>
          </w:p>
        </w:tc>
        <w:tc>
          <w:tcPr/>
          <w:p>
            <w:pPr>
              <w:pStyle w:val="Compact"/>
              <w:jc w:val="center"/>
            </w:pPr>
            <w:r>
              <w:t xml:space="preserve">Yes</w:t>
            </w:r>
          </w:p>
        </w:tc>
        <w:tc>
          <w:tcPr/>
          <w:p>
            <w:pPr>
              <w:pStyle w:val="Compact"/>
              <w:jc w:val="center"/>
            </w:pPr>
            <w:r>
              <w:rPr>
                <w:b/>
                <w:bCs/>
              </w:rPr>
              <w:t xml:space="preserve">Yes</w:t>
            </w:r>
          </w:p>
        </w:tc>
      </w:tr>
      <w:tr>
        <w:tc>
          <w:tcPr/>
          <w:p>
            <w:pPr>
              <w:pStyle w:val="Compact"/>
              <w:jc w:val="left"/>
            </w:pPr>
            <w:r>
              <w:t xml:space="preserve">Bread, Milk</w:t>
            </w:r>
            <w:r>
              <w:t xml:space="preserve"> </w:t>
            </w:r>
            <m:oMath>
              <m:r>
                <m:rPr>
                  <m:sty m:val="p"/>
                </m:rPr>
                <m:t>→</m:t>
              </m:r>
            </m:oMath>
            <w:r>
              <w:t xml:space="preserve"> </w:t>
            </w:r>
            <w:r>
              <w:t xml:space="preserve">Butter</w:t>
            </w:r>
          </w:p>
        </w:tc>
        <w:tc>
          <w:tcPr/>
          <w:p>
            <w:pPr>
              <w:pStyle w:val="Compact"/>
              <w:jc w:val="right"/>
            </w:pPr>
            <w:r>
              <w:t xml:space="preserve">30%</w:t>
            </w:r>
          </w:p>
        </w:tc>
        <w:tc>
          <w:tcPr/>
          <w:p>
            <w:pPr>
              <w:pStyle w:val="Compact"/>
              <w:jc w:val="right"/>
            </w:pPr>
            <w:r>
              <w:t xml:space="preserve">60%</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r>
      <w:tr>
        <w:tc>
          <w:tcPr/>
          <w:p>
            <w:pPr>
              <w:pStyle w:val="Compact"/>
              <w:jc w:val="left"/>
            </w:pPr>
            <w:r>
              <w:t xml:space="preserve">Coffee</w:t>
            </w:r>
            <w:r>
              <w:t xml:space="preserve"> </w:t>
            </w:r>
            <m:oMath>
              <m:r>
                <m:rPr>
                  <m:sty m:val="p"/>
                </m:rPr>
                <m:t>→</m:t>
              </m:r>
            </m:oMath>
            <w:r>
              <w:t xml:space="preserve"> </w:t>
            </w:r>
            <w:r>
              <w:t xml:space="preserve">Eggs</w:t>
            </w:r>
          </w:p>
        </w:tc>
        <w:tc>
          <w:tcPr/>
          <w:p>
            <w:pPr>
              <w:pStyle w:val="Compact"/>
              <w:jc w:val="right"/>
            </w:pPr>
            <w:r>
              <w:t xml:space="preserve">10%</w:t>
            </w:r>
          </w:p>
        </w:tc>
        <w:tc>
          <w:tcPr/>
          <w:p>
            <w:pPr>
              <w:pStyle w:val="Compact"/>
              <w:jc w:val="right"/>
            </w:pPr>
            <w:r>
              <w:t xml:space="preserve">50%</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r>
    </w:tbl>
    <w:p>
      <w:pPr>
        <w:pStyle w:val="BodyText"/>
      </w:pPr>
      <w:r>
        <w:t xml:space="preserve">Therefore, with</w:t>
      </w:r>
      <w:r>
        <w:t xml:space="preserve"> </w:t>
      </w:r>
      <w:r>
        <w:rPr>
          <w:rStyle w:val="VerbatimChar"/>
        </w:rPr>
        <w:t xml:space="preserve">minsup = 30%</w:t>
      </w:r>
      <w:r>
        <w:t xml:space="preserve"> </w:t>
      </w:r>
      <w:r>
        <w:t xml:space="preserve">and</w:t>
      </w:r>
      <w:r>
        <w:t xml:space="preserve"> </w:t>
      </w:r>
      <w:r>
        <w:rPr>
          <w:rStyle w:val="VerbatimChar"/>
        </w:rPr>
        <w:t xml:space="preserve">minconf = 70%</w:t>
      </w:r>
      <w:r>
        <w:t xml:space="preserve">, the accepted rules are:</w:t>
      </w:r>
    </w:p>
    <w:p>
      <w:pPr>
        <w:pStyle w:val="Compact"/>
        <w:numPr>
          <w:ilvl w:val="0"/>
          <w:numId w:val="1002"/>
        </w:numPr>
      </w:pPr>
      <w:r>
        <w:t xml:space="preserve">Bread</w:t>
      </w:r>
      <w:r>
        <w:t xml:space="preserve"> </w:t>
      </w:r>
      <m:oMath>
        <m:r>
          <m:rPr>
            <m:sty m:val="p"/>
          </m:rPr>
          <m:t>→</m:t>
        </m:r>
      </m:oMath>
      <w:r>
        <w:t xml:space="preserve"> </w:t>
      </w:r>
      <w:r>
        <w:t xml:space="preserve">Milk;</w:t>
      </w:r>
    </w:p>
    <w:p>
      <w:pPr>
        <w:pStyle w:val="Compact"/>
        <w:numPr>
          <w:ilvl w:val="0"/>
          <w:numId w:val="1002"/>
        </w:numPr>
      </w:pPr>
      <w:r>
        <w:t xml:space="preserve">Milk</w:t>
      </w:r>
      <w:r>
        <w:t xml:space="preserve"> </w:t>
      </w:r>
      <m:oMath>
        <m:r>
          <m:rPr>
            <m:sty m:val="p"/>
          </m:rPr>
          <m:t>→</m:t>
        </m:r>
      </m:oMath>
      <w:r>
        <w:t xml:space="preserve"> </w:t>
      </w:r>
      <w:r>
        <w:t xml:space="preserve">Bread;</w:t>
      </w:r>
    </w:p>
    <w:p>
      <w:pPr>
        <w:pStyle w:val="Compact"/>
        <w:numPr>
          <w:ilvl w:val="0"/>
          <w:numId w:val="1002"/>
        </w:numPr>
      </w:pPr>
      <w:r>
        <w:t xml:space="preserve">Butter</w:t>
      </w:r>
      <w:r>
        <w:t xml:space="preserve"> </w:t>
      </w:r>
      <m:oMath>
        <m:r>
          <m:rPr>
            <m:sty m:val="p"/>
          </m:rPr>
          <m:t>→</m:t>
        </m:r>
      </m:oMath>
      <w:r>
        <w:t xml:space="preserve"> </w:t>
      </w:r>
      <w:r>
        <w:t xml:space="preserve">Bread.</w:t>
      </w:r>
    </w:p>
    <w:p>
      <w:pPr>
        <w:pStyle w:val="FirstParagraph"/>
      </w:pPr>
      <w:r>
        <w:t xml:space="preserve">If the minimum confidence is increased to 90%, none of these candidate rules remains valid because none reaches 90% confidence.</w:t>
      </w:r>
    </w:p>
    <w:p>
      <w:pPr>
        <w:pStyle w:val="BodyText"/>
      </w:pPr>
      <w:r>
        <w:t xml:space="preserve">When the minimum confidence threshold becomes stricter, fewer rules are accepted. The procedure becomes more selective, retaining only rules where the consequent appears very reliably when the antecedent appears. This can remove weak rules, but it can also remove moderately reliable relationships that may still be useful.</w:t>
      </w:r>
    </w:p>
    <w:bookmarkEnd w:id="35"/>
    <w:bookmarkStart w:id="43" w:name="why-confidence-can-be-misleading"/>
    <w:p>
      <w:pPr>
        <w:pStyle w:val="Heading1"/>
      </w:pPr>
      <w:r>
        <w:t xml:space="preserve">10.4 Why confidence can be misleading ✎</w:t>
      </w:r>
    </w:p>
    <w:p>
      <w:pPr>
        <w:pStyle w:val="FirstParagraph"/>
      </w:pPr>
      <w:r>
        <w:t xml:space="preserve">Confidence can be high simply because the consequent is common. Lift corrects for the consequent’s marginal frequency:</w:t>
      </w:r>
    </w:p>
    <w:p>
      <w:pPr>
        <w:pStyle w:val="BodyText"/>
      </w:pPr>
      <m:oMathPara>
        <m:oMathParaPr>
          <m:jc m:val="center"/>
        </m:oMathParaPr>
        <m:oMath>
          <m:r>
            <m:rPr>
              <m:sty m:val="p"/>
            </m:rPr>
            <m:t>lift</m:t>
          </m:r>
          <m:r>
            <m:rPr>
              <m:sty m:val="p"/>
            </m:rPr>
            <m:t>(</m:t>
          </m:r>
          <m:r>
            <m:t>X</m:t>
          </m:r>
          <m:r>
            <m:rPr>
              <m:sty m:val="p"/>
            </m:rPr>
            <m:t>→</m:t>
          </m:r>
          <m:r>
            <m:t>Y</m:t>
          </m:r>
          <m:r>
            <m:rPr>
              <m:sty m:val="p"/>
            </m:rPr>
            <m:t>)</m:t>
          </m:r>
          <m:r>
            <m:rPr>
              <m:sty m:val="p"/>
            </m:rPr>
            <m:t>=</m:t>
          </m:r>
          <m:f>
            <m:fPr>
              <m:type m:val="bar"/>
            </m:fPr>
            <m:num>
              <m:r>
                <m:rPr>
                  <m:sty m:val="p"/>
                </m:rPr>
                <m:t>confidence</m:t>
              </m:r>
              <m:r>
                <m:rPr>
                  <m:sty m:val="p"/>
                </m:rPr>
                <m:t>(</m:t>
              </m:r>
              <m:r>
                <m:t>X</m:t>
              </m:r>
              <m:r>
                <m:rPr>
                  <m:sty m:val="p"/>
                </m:rPr>
                <m:t>→</m:t>
              </m:r>
              <m:r>
                <m:t>Y</m:t>
              </m:r>
              <m:r>
                <m:rPr>
                  <m:sty m:val="p"/>
                </m:rPr>
                <m:t>)</m:t>
              </m:r>
            </m:num>
            <m:den>
              <m:r>
                <m:rPr>
                  <m:sty m:val="p"/>
                </m:rPr>
                <m:t>support</m:t>
              </m:r>
              <m:r>
                <m:rPr>
                  <m:sty m:val="p"/>
                </m:rPr>
                <m:t>(</m:t>
              </m:r>
              <m:r>
                <m:t>Y</m:t>
              </m:r>
              <m:r>
                <m:rPr>
                  <m:sty m:val="p"/>
                </m:rPr>
                <m:t>)</m:t>
              </m:r>
            </m:den>
          </m:f>
          <m:r>
            <m:rPr>
              <m:sty m:val="p"/>
            </m:rPr>
            <m:t>.</m:t>
          </m:r>
        </m:oMath>
      </m:oMathPara>
    </w:p>
    <w:p>
      <w:pPr>
        <w:pStyle w:val="Compact"/>
        <w:numPr>
          <w:ilvl w:val="0"/>
          <w:numId w:val="1003"/>
        </w:numPr>
      </w:pPr>
      <w:r>
        <w:t xml:space="preserve">lift</w:t>
      </w:r>
      <w:r>
        <w:t xml:space="preserve"> </w:t>
      </w:r>
      <m:oMath>
        <m:r>
          <m:rPr>
            <m:sty m:val="p"/>
          </m:rPr>
          <m:t>&gt;</m:t>
        </m:r>
        <m:r>
          <m:t>1</m:t>
        </m:r>
      </m:oMath>
      <w:r>
        <w:t xml:space="preserve">: positive association;</w:t>
      </w:r>
    </w:p>
    <w:p>
      <w:pPr>
        <w:pStyle w:val="Compact"/>
        <w:numPr>
          <w:ilvl w:val="0"/>
          <w:numId w:val="1003"/>
        </w:numPr>
      </w:pPr>
      <w:r>
        <w:t xml:space="preserve">lift</w:t>
      </w:r>
      <w:r>
        <w:t xml:space="preserve"> </w:t>
      </w:r>
      <m:oMath>
        <m:r>
          <m:rPr>
            <m:sty m:val="p"/>
          </m:rPr>
          <m:t>=</m:t>
        </m:r>
        <m:r>
          <m:t>1</m:t>
        </m:r>
      </m:oMath>
      <w:r>
        <w:t xml:space="preserve">: approximately independent;</w:t>
      </w:r>
    </w:p>
    <w:p>
      <w:pPr>
        <w:pStyle w:val="Compact"/>
        <w:numPr>
          <w:ilvl w:val="0"/>
          <w:numId w:val="1003"/>
        </w:numPr>
      </w:pPr>
      <w:r>
        <w:t xml:space="preserve">lift</w:t>
      </w:r>
      <w:r>
        <w:t xml:space="preserve"> </w:t>
      </w:r>
      <m:oMath>
        <m:r>
          <m:rPr>
            <m:sty m:val="p"/>
          </m:rPr>
          <m:t>&lt;</m:t>
        </m:r>
        <m:r>
          <m:t>1</m:t>
        </m:r>
      </m:oMath>
      <w:r>
        <w:t xml:space="preserve">: negative association.</w:t>
      </w:r>
    </w:p>
    <w:bookmarkStart w:id="36" w:name="bread-rightarrow-milk-1"/>
    <w:p>
      <w:pPr>
        <w:pStyle w:val="Heading2"/>
      </w:pPr>
      <w:r>
        <w:t xml:space="preserve">1. Bread</w:t>
      </w:r>
      <w:r>
        <w:t xml:space="preserve"> </w:t>
      </w:r>
      <m:oMath>
        <m:r>
          <m:rPr>
            <m:sty m:val="p"/>
          </m:rPr>
          <m:t>→</m:t>
        </m:r>
      </m:oMath>
      <w:r>
        <w:t xml:space="preserve"> </w:t>
      </w:r>
      <w:r>
        <w:t xml:space="preserve">Milk</w:t>
      </w:r>
    </w:p>
    <w:p>
      <w:pPr>
        <w:pStyle w:val="FirstParagraph"/>
      </w:pPr>
      <m:oMathPara>
        <m:oMathParaPr>
          <m:jc m:val="center"/>
        </m:oMathParaPr>
        <m:oMath>
          <m:r>
            <m:rPr>
              <m:sty m:val="p"/>
            </m:rPr>
            <m:t>lift</m:t>
          </m:r>
          <m:r>
            <m:rPr>
              <m:sty m:val="p"/>
            </m:rPr>
            <m:t>=</m:t>
          </m:r>
          <m:f>
            <m:fPr>
              <m:type m:val="bar"/>
            </m:fPr>
            <m:num>
              <m:r>
                <m:t>0.7143</m:t>
              </m:r>
            </m:num>
            <m:den>
              <m:r>
                <m:t>0.70</m:t>
              </m:r>
            </m:den>
          </m:f>
          <m:r>
            <m:rPr>
              <m:sty m:val="p"/>
            </m:rPr>
            <m:t>≈</m:t>
          </m:r>
          <m:r>
            <m:t>1.02</m:t>
          </m:r>
          <m:r>
            <m:rPr>
              <m:sty m:val="p"/>
            </m:rPr>
            <m:t>.</m:t>
          </m:r>
        </m:oMath>
      </m:oMathPara>
    </w:p>
    <w:p>
      <w:pPr>
        <w:pStyle w:val="FirstParagraph"/>
      </w:pPr>
      <w:r>
        <w:t xml:space="preserve">The rule is close to independence.</w:t>
      </w:r>
    </w:p>
    <w:bookmarkEnd w:id="36"/>
    <w:bookmarkStart w:id="37" w:name="milk-rightarrow-bread-1"/>
    <w:p>
      <w:pPr>
        <w:pStyle w:val="Heading2"/>
      </w:pPr>
      <w:r>
        <w:t xml:space="preserve">2. Milk</w:t>
      </w:r>
      <w:r>
        <w:t xml:space="preserve"> </w:t>
      </w:r>
      <m:oMath>
        <m:r>
          <m:rPr>
            <m:sty m:val="p"/>
          </m:rPr>
          <m:t>→</m:t>
        </m:r>
      </m:oMath>
      <w:r>
        <w:t xml:space="preserve"> </w:t>
      </w:r>
      <w:r>
        <w:t xml:space="preserve">Bread</w:t>
      </w:r>
    </w:p>
    <w:p>
      <w:pPr>
        <w:pStyle w:val="FirstParagraph"/>
      </w:pPr>
      <m:oMathPara>
        <m:oMathParaPr>
          <m:jc m:val="center"/>
        </m:oMathParaPr>
        <m:oMath>
          <m:r>
            <m:rPr>
              <m:sty m:val="p"/>
            </m:rPr>
            <m:t>lift</m:t>
          </m:r>
          <m:r>
            <m:rPr>
              <m:sty m:val="p"/>
            </m:rPr>
            <m:t>=</m:t>
          </m:r>
          <m:f>
            <m:fPr>
              <m:type m:val="bar"/>
            </m:fPr>
            <m:num>
              <m:r>
                <m:t>0.7143</m:t>
              </m:r>
            </m:num>
            <m:den>
              <m:r>
                <m:t>0.70</m:t>
              </m:r>
            </m:den>
          </m:f>
          <m:r>
            <m:rPr>
              <m:sty m:val="p"/>
            </m:rPr>
            <m:t>≈</m:t>
          </m:r>
          <m:r>
            <m:t>1.02</m:t>
          </m:r>
          <m:r>
            <m:rPr>
              <m:sty m:val="p"/>
            </m:rPr>
            <m:t>.</m:t>
          </m:r>
        </m:oMath>
      </m:oMathPara>
    </w:p>
    <w:p>
      <w:pPr>
        <w:pStyle w:val="FirstParagraph"/>
      </w:pPr>
      <w:r>
        <w:t xml:space="preserve">Again, the association is close to independence.</w:t>
      </w:r>
    </w:p>
    <w:bookmarkEnd w:id="37"/>
    <w:bookmarkStart w:id="38" w:name="coffee-rightarrow-eggs-1"/>
    <w:p>
      <w:pPr>
        <w:pStyle w:val="Heading2"/>
      </w:pPr>
      <w:r>
        <w:t xml:space="preserve">3. Coffee</w:t>
      </w:r>
      <w:r>
        <w:t xml:space="preserve"> </w:t>
      </w:r>
      <m:oMath>
        <m:r>
          <m:rPr>
            <m:sty m:val="p"/>
          </m:rPr>
          <m:t>→</m:t>
        </m:r>
      </m:oMath>
      <w:r>
        <w:t xml:space="preserve"> </w:t>
      </w:r>
      <w:r>
        <w:t xml:space="preserve">Eggs</w:t>
      </w:r>
    </w:p>
    <w:p>
      <w:pPr>
        <w:pStyle w:val="FirstParagraph"/>
      </w:pPr>
      <m:oMathPara>
        <m:oMathParaPr>
          <m:jc m:val="center"/>
        </m:oMathParaPr>
        <m:oMath>
          <m:r>
            <m:rPr>
              <m:sty m:val="p"/>
            </m:rPr>
            <m:t>lift</m:t>
          </m:r>
          <m:r>
            <m:rPr>
              <m:sty m:val="p"/>
            </m:rPr>
            <m:t>=</m:t>
          </m:r>
          <m:f>
            <m:fPr>
              <m:type m:val="bar"/>
            </m:fPr>
            <m:num>
              <m:r>
                <m:t>0.50</m:t>
              </m:r>
            </m:num>
            <m:den>
              <m:r>
                <m:t>0.40</m:t>
              </m:r>
            </m:den>
          </m:f>
          <m:r>
            <m:rPr>
              <m:sty m:val="p"/>
            </m:rPr>
            <m:t>=</m:t>
          </m:r>
          <m:r>
            <m:t>1.25</m:t>
          </m:r>
          <m:r>
            <m:rPr>
              <m:sty m:val="p"/>
            </m:rPr>
            <m:t>.</m:t>
          </m:r>
        </m:oMath>
      </m:oMathPara>
    </w:p>
    <w:p>
      <w:pPr>
        <w:pStyle w:val="FirstParagraph"/>
      </w:pPr>
      <w:r>
        <w:t xml:space="preserve">This is a positive association, but its support is only 10%.</w:t>
      </w:r>
    </w:p>
    <w:bookmarkEnd w:id="38"/>
    <w:bookmarkStart w:id="39" w:name="eggs-rightarrow-coffee"/>
    <w:p>
      <w:pPr>
        <w:pStyle w:val="Heading2"/>
      </w:pPr>
      <w:r>
        <w:t xml:space="preserve">4. Eggs</w:t>
      </w:r>
      <w:r>
        <w:t xml:space="preserve"> </w:t>
      </w:r>
      <m:oMath>
        <m:r>
          <m:rPr>
            <m:sty m:val="p"/>
          </m:rPr>
          <m:t>→</m:t>
        </m:r>
      </m:oMath>
      <w:r>
        <w:t xml:space="preserve"> </w:t>
      </w:r>
      <w:r>
        <w:t xml:space="preserve">Coffee</w:t>
      </w:r>
    </w:p>
    <w:p>
      <w:pPr>
        <w:pStyle w:val="FirstParagraph"/>
      </w:pPr>
      <w:r>
        <w:t xml:space="preserve">The confidence is</w:t>
      </w:r>
    </w:p>
    <w:p>
      <w:pPr>
        <w:pStyle w:val="BodyText"/>
      </w:pPr>
      <m:oMathPara>
        <m:oMathParaPr>
          <m:jc m:val="center"/>
        </m:oMathParaPr>
        <m:oMath>
          <m:r>
            <m:rPr>
              <m:sty m:val="p"/>
            </m:rPr>
            <m:t>confidence</m:t>
          </m:r>
          <m:r>
            <m:rPr>
              <m:sty m:val="p"/>
            </m:rPr>
            <m:t>(</m:t>
          </m:r>
          <m:r>
            <m:rPr>
              <m:sty m:val="p"/>
            </m:rPr>
            <m:t>{</m:t>
          </m:r>
          <m:r>
            <m:rPr>
              <m:nor/>
              <m:sty m:val="p"/>
            </m:rPr>
            <m:t>Eggs</m:t>
          </m:r>
          <m:r>
            <m:rPr>
              <m:sty m:val="p"/>
            </m:rPr>
            <m:t>}</m:t>
          </m:r>
          <m:r>
            <m:rPr>
              <m:sty m:val="p"/>
            </m:rPr>
            <m:t>→</m:t>
          </m:r>
          <m:r>
            <m:rPr>
              <m:sty m:val="p"/>
            </m:rPr>
            <m:t>{</m:t>
          </m:r>
          <m:r>
            <m:rPr>
              <m:nor/>
              <m:sty m:val="p"/>
            </m:rPr>
            <m:t>Coffee</m:t>
          </m:r>
          <m:r>
            <m:rPr>
              <m:sty m:val="p"/>
            </m:rPr>
            <m:t>}</m:t>
          </m:r>
          <m:r>
            <m:rPr>
              <m:sty m:val="p"/>
            </m:rPr>
            <m:t>)</m:t>
          </m:r>
          <m:r>
            <m:rPr>
              <m:sty m:val="p"/>
            </m:rPr>
            <m:t>=</m:t>
          </m:r>
          <m:f>
            <m:fPr>
              <m:type m:val="bar"/>
            </m:fPr>
            <m:num>
              <m:r>
                <m:t>1</m:t>
              </m:r>
              <m:r>
                <m:rPr>
                  <m:sty m:val="p"/>
                </m:rPr>
                <m:t>/</m:t>
              </m:r>
              <m:r>
                <m:t>10</m:t>
              </m:r>
            </m:num>
            <m:den>
              <m:r>
                <m:t>4</m:t>
              </m:r>
              <m:r>
                <m:rPr>
                  <m:sty m:val="p"/>
                </m:rPr>
                <m:t>/</m:t>
              </m:r>
              <m:r>
                <m:t>10</m:t>
              </m:r>
            </m:den>
          </m:f>
          <m:r>
            <m:rPr>
              <m:sty m:val="p"/>
            </m:rPr>
            <m:t>=</m:t>
          </m:r>
          <m:f>
            <m:fPr>
              <m:type m:val="bar"/>
            </m:fPr>
            <m:num>
              <m:r>
                <m:t>1</m:t>
              </m:r>
            </m:num>
            <m:den>
              <m:r>
                <m:t>4</m:t>
              </m:r>
            </m:den>
          </m:f>
          <m:r>
            <m:rPr>
              <m:sty m:val="p"/>
            </m:rPr>
            <m:t>=</m:t>
          </m:r>
          <m:r>
            <m:t>0.25</m:t>
          </m:r>
          <m:r>
            <m:rPr>
              <m:sty m:val="p"/>
            </m:rPr>
            <m:t>.</m:t>
          </m:r>
        </m:oMath>
      </m:oMathPara>
    </w:p>
    <w:p>
      <w:pPr>
        <w:pStyle w:val="FirstParagraph"/>
      </w:pPr>
      <w:r>
        <w:t xml:space="preserve">Therefore,</w:t>
      </w:r>
    </w:p>
    <w:p>
      <w:pPr>
        <w:pStyle w:val="BodyText"/>
      </w:pPr>
      <m:oMathPara>
        <m:oMathParaPr>
          <m:jc m:val="center"/>
        </m:oMathParaPr>
        <m:oMath>
          <m:r>
            <m:rPr>
              <m:sty m:val="p"/>
            </m:rPr>
            <m:t>lift</m:t>
          </m:r>
          <m:r>
            <m:rPr>
              <m:sty m:val="p"/>
            </m:rPr>
            <m:t>=</m:t>
          </m:r>
          <m:f>
            <m:fPr>
              <m:type m:val="bar"/>
            </m:fPr>
            <m:num>
              <m:r>
                <m:t>0.25</m:t>
              </m:r>
            </m:num>
            <m:den>
              <m:r>
                <m:t>0.20</m:t>
              </m:r>
            </m:den>
          </m:f>
          <m:r>
            <m:rPr>
              <m:sty m:val="p"/>
            </m:rPr>
            <m:t>=</m:t>
          </m:r>
          <m:r>
            <m:t>1.25</m:t>
          </m:r>
          <m:r>
            <m:rPr>
              <m:sty m:val="p"/>
            </m:rPr>
            <m:t>.</m:t>
          </m:r>
        </m:oMath>
      </m:oMathPara>
    </w:p>
    <w:p>
      <w:pPr>
        <w:pStyle w:val="FirstParagraph"/>
      </w:pPr>
      <w:r>
        <w:t xml:space="preserve">The lift is the same as in the reverse direction because lift measures departure from independence symmetrically through the joint occurrence, even though confidence is directional.</w:t>
      </w:r>
    </w:p>
    <w:p>
      <w:pPr>
        <w:pStyle w:val="BodyText"/>
      </w:pPr>
      <w:r>
        <w:t xml:space="preserve">The summary 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Rule</w:t>
            </w:r>
          </w:p>
        </w:tc>
        <w:tc>
          <w:tcPr/>
          <w:p>
            <w:pPr>
              <w:pStyle w:val="Compact"/>
              <w:jc w:val="right"/>
            </w:pPr>
            <w:r>
              <w:t xml:space="preserve">Support</w:t>
            </w:r>
          </w:p>
        </w:tc>
        <w:tc>
          <w:tcPr/>
          <w:p>
            <w:pPr>
              <w:pStyle w:val="Compact"/>
              <w:jc w:val="right"/>
            </w:pPr>
            <w:r>
              <w:t xml:space="preserve">Confidence</w:t>
            </w:r>
          </w:p>
        </w:tc>
        <w:tc>
          <w:tcPr/>
          <w:p>
            <w:pPr>
              <w:pStyle w:val="Compact"/>
              <w:jc w:val="right"/>
            </w:pPr>
            <w:r>
              <w:t xml:space="preserve">Lift</w:t>
            </w:r>
          </w:p>
        </w:tc>
        <w:tc>
          <w:tcPr/>
          <w:p>
            <w:pPr>
              <w:pStyle w:val="Compact"/>
              <w:jc w:val="left"/>
            </w:pPr>
            <w:r>
              <w:t xml:space="preserve">Interpretation</w:t>
            </w:r>
          </w:p>
        </w:tc>
      </w:tr>
      <w:tr>
        <w:tc>
          <w:tcPr/>
          <w:p>
            <w:pPr>
              <w:pStyle w:val="Compact"/>
              <w:jc w:val="left"/>
            </w:pPr>
            <w:r>
              <w:t xml:space="preserve">Bread</w:t>
            </w:r>
            <w:r>
              <w:t xml:space="preserve"> </w:t>
            </w:r>
            <m:oMath>
              <m:r>
                <m:rPr>
                  <m:sty m:val="p"/>
                </m:rPr>
                <m:t>→</m:t>
              </m:r>
            </m:oMath>
            <w:r>
              <w:t xml:space="preserve"> </w:t>
            </w:r>
            <w:r>
              <w:t xml:space="preserve">Milk</w:t>
            </w:r>
          </w:p>
        </w:tc>
        <w:tc>
          <w:tcPr/>
          <w:p>
            <w:pPr>
              <w:pStyle w:val="Compact"/>
              <w:jc w:val="right"/>
            </w:pPr>
            <w:r>
              <w:t xml:space="preserve">50%</w:t>
            </w:r>
          </w:p>
        </w:tc>
        <w:tc>
          <w:tcPr/>
          <w:p>
            <w:pPr>
              <w:pStyle w:val="Compact"/>
              <w:jc w:val="right"/>
            </w:pPr>
            <w:r>
              <w:t xml:space="preserve">71.43%</w:t>
            </w:r>
          </w:p>
        </w:tc>
        <w:tc>
          <w:tcPr/>
          <w:p>
            <w:pPr>
              <w:pStyle w:val="Compact"/>
              <w:jc w:val="right"/>
            </w:pPr>
            <w:r>
              <w:t xml:space="preserve">1.02</w:t>
            </w:r>
          </w:p>
        </w:tc>
        <w:tc>
          <w:tcPr/>
          <w:p>
            <w:pPr>
              <w:pStyle w:val="Compact"/>
              <w:jc w:val="left"/>
            </w:pPr>
            <w:r>
              <w:t xml:space="preserve">approximately independent</w:t>
            </w:r>
          </w:p>
        </w:tc>
      </w:tr>
      <w:tr>
        <w:tc>
          <w:tcPr/>
          <w:p>
            <w:pPr>
              <w:pStyle w:val="Compact"/>
              <w:jc w:val="left"/>
            </w:pPr>
            <w:r>
              <w:t xml:space="preserve">Milk</w:t>
            </w:r>
            <w:r>
              <w:t xml:space="preserve"> </w:t>
            </w:r>
            <m:oMath>
              <m:r>
                <m:rPr>
                  <m:sty m:val="p"/>
                </m:rPr>
                <m:t>→</m:t>
              </m:r>
            </m:oMath>
            <w:r>
              <w:t xml:space="preserve"> </w:t>
            </w:r>
            <w:r>
              <w:t xml:space="preserve">Bread</w:t>
            </w:r>
          </w:p>
        </w:tc>
        <w:tc>
          <w:tcPr/>
          <w:p>
            <w:pPr>
              <w:pStyle w:val="Compact"/>
              <w:jc w:val="right"/>
            </w:pPr>
            <w:r>
              <w:t xml:space="preserve">50%</w:t>
            </w:r>
          </w:p>
        </w:tc>
        <w:tc>
          <w:tcPr/>
          <w:p>
            <w:pPr>
              <w:pStyle w:val="Compact"/>
              <w:jc w:val="right"/>
            </w:pPr>
            <w:r>
              <w:t xml:space="preserve">71.43%</w:t>
            </w:r>
          </w:p>
        </w:tc>
        <w:tc>
          <w:tcPr/>
          <w:p>
            <w:pPr>
              <w:pStyle w:val="Compact"/>
              <w:jc w:val="right"/>
            </w:pPr>
            <w:r>
              <w:t xml:space="preserve">1.02</w:t>
            </w:r>
          </w:p>
        </w:tc>
        <w:tc>
          <w:tcPr/>
          <w:p>
            <w:pPr>
              <w:pStyle w:val="Compact"/>
              <w:jc w:val="left"/>
            </w:pPr>
            <w:r>
              <w:t xml:space="preserve">approximately independent</w:t>
            </w:r>
          </w:p>
        </w:tc>
      </w:tr>
      <w:tr>
        <w:tc>
          <w:tcPr/>
          <w:p>
            <w:pPr>
              <w:pStyle w:val="Compact"/>
              <w:jc w:val="left"/>
            </w:pPr>
            <w:r>
              <w:t xml:space="preserve">Coffee</w:t>
            </w:r>
            <w:r>
              <w:t xml:space="preserve"> </w:t>
            </w:r>
            <m:oMath>
              <m:r>
                <m:rPr>
                  <m:sty m:val="p"/>
                </m:rPr>
                <m:t>→</m:t>
              </m:r>
            </m:oMath>
            <w:r>
              <w:t xml:space="preserve"> </w:t>
            </w:r>
            <w:r>
              <w:t xml:space="preserve">Eggs</w:t>
            </w:r>
          </w:p>
        </w:tc>
        <w:tc>
          <w:tcPr/>
          <w:p>
            <w:pPr>
              <w:pStyle w:val="Compact"/>
              <w:jc w:val="right"/>
            </w:pPr>
            <w:r>
              <w:t xml:space="preserve">10%</w:t>
            </w:r>
          </w:p>
        </w:tc>
        <w:tc>
          <w:tcPr/>
          <w:p>
            <w:pPr>
              <w:pStyle w:val="Compact"/>
              <w:jc w:val="right"/>
            </w:pPr>
            <w:r>
              <w:t xml:space="preserve">50%</w:t>
            </w:r>
          </w:p>
        </w:tc>
        <w:tc>
          <w:tcPr/>
          <w:p>
            <w:pPr>
              <w:pStyle w:val="Compact"/>
              <w:jc w:val="right"/>
            </w:pPr>
            <w:r>
              <w:t xml:space="preserve">1.25</w:t>
            </w:r>
          </w:p>
        </w:tc>
        <w:tc>
          <w:tcPr/>
          <w:p>
            <w:pPr>
              <w:pStyle w:val="Compact"/>
              <w:jc w:val="left"/>
            </w:pPr>
            <w:r>
              <w:t xml:space="preserve">positive association, low support</w:t>
            </w:r>
          </w:p>
        </w:tc>
      </w:tr>
      <w:tr>
        <w:tc>
          <w:tcPr/>
          <w:p>
            <w:pPr>
              <w:pStyle w:val="Compact"/>
              <w:jc w:val="left"/>
            </w:pPr>
            <w:r>
              <w:t xml:space="preserve">Eggs</w:t>
            </w:r>
            <w:r>
              <w:t xml:space="preserve"> </w:t>
            </w:r>
            <m:oMath>
              <m:r>
                <m:rPr>
                  <m:sty m:val="p"/>
                </m:rPr>
                <m:t>→</m:t>
              </m:r>
            </m:oMath>
            <w:r>
              <w:t xml:space="preserve"> </w:t>
            </w:r>
            <w:r>
              <w:t xml:space="preserve">Coffee</w:t>
            </w:r>
          </w:p>
        </w:tc>
        <w:tc>
          <w:tcPr/>
          <w:p>
            <w:pPr>
              <w:pStyle w:val="Compact"/>
              <w:jc w:val="right"/>
            </w:pPr>
            <w:r>
              <w:t xml:space="preserve">10%</w:t>
            </w:r>
          </w:p>
        </w:tc>
        <w:tc>
          <w:tcPr/>
          <w:p>
            <w:pPr>
              <w:pStyle w:val="Compact"/>
              <w:jc w:val="right"/>
            </w:pPr>
            <w:r>
              <w:t xml:space="preserve">25%</w:t>
            </w:r>
          </w:p>
        </w:tc>
        <w:tc>
          <w:tcPr/>
          <w:p>
            <w:pPr>
              <w:pStyle w:val="Compact"/>
              <w:jc w:val="right"/>
            </w:pPr>
            <w:r>
              <w:t xml:space="preserve">1.25</w:t>
            </w:r>
          </w:p>
        </w:tc>
        <w:tc>
          <w:tcPr/>
          <w:p>
            <w:pPr>
              <w:pStyle w:val="Compact"/>
              <w:jc w:val="left"/>
            </w:pPr>
            <w:r>
              <w:t xml:space="preserve">positive association, low support and confidence</w:t>
            </w:r>
          </w:p>
        </w:tc>
      </w:tr>
    </w:tbl>
    <w:bookmarkEnd w:id="39"/>
    <w:bookmarkStart w:id="42" w:name="interpreting-interesting-rules"/>
    <w:p>
      <w:pPr>
        <w:pStyle w:val="Heading2"/>
      </w:pPr>
      <w:r>
        <w:t xml:space="preserve">5–6. Interpreting “interesting” rules</w:t>
      </w:r>
    </w:p>
    <w:p>
      <w:pPr>
        <w:pStyle w:val="FirstParagraph"/>
      </w:pPr>
      <w:r>
        <w:t xml:space="preserve">Bread</w:t>
      </w:r>
      <w:r>
        <w:t xml:space="preserve"> </w:t>
      </w:r>
      <m:oMath>
        <m:r>
          <m:rPr>
            <m:sty m:val="p"/>
          </m:rPr>
          <m:t>→</m:t>
        </m:r>
      </m:oMath>
      <w:r>
        <w:t xml:space="preserve"> </w:t>
      </w:r>
      <w:r>
        <w:t xml:space="preserve">Milk and Milk</w:t>
      </w:r>
      <w:r>
        <w:t xml:space="preserve"> </w:t>
      </w:r>
      <m:oMath>
        <m:r>
          <m:rPr>
            <m:sty m:val="p"/>
          </m:rPr>
          <m:t>→</m:t>
        </m:r>
      </m:oMath>
      <w:r>
        <w:t xml:space="preserve"> </w:t>
      </w:r>
      <w:r>
        <w:t xml:space="preserve">Bread have relatively high support and confidence, but their lift is close to 1. Much of their apparent reliability comes from Bread and Milk already being common.</w:t>
      </w:r>
    </w:p>
    <w:p>
      <w:pPr>
        <w:pStyle w:val="BodyText"/>
      </w:pPr>
      <w:r>
        <w:t xml:space="preserve">Coffee</w:t>
      </w:r>
      <w:r>
        <w:t xml:space="preserve"> </w:t>
      </w:r>
      <m:oMath>
        <m:r>
          <m:rPr>
            <m:sty m:val="p"/>
          </m:rPr>
          <m:t>→</m:t>
        </m:r>
      </m:oMath>
      <w:r>
        <w:t xml:space="preserve"> </w:t>
      </w:r>
      <w:r>
        <w:t xml:space="preserve">Eggs has the largest lift among the listed rules, so it shows the strongest departure from independence. However, the rule is supported by only one joint transaction, so that estimate is based on very little evidence.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note.png" id="41" name="Picture"/>
                          <pic:cNvPicPr>
                            <a:picLocks noChangeArrowheads="1" noChangeAspect="1"/>
                          </pic:cNvPicPr>
                        </pic:nvPicPr>
                        <pic:blipFill>
                          <a:blip r:embed="rId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ML insight — interestingness is objective-dependent</w:t>
            </w:r>
          </w:p>
        </w:tc>
      </w:tr>
      <w:tr>
        <w:trPr>
          <w:cantSplit/>
        </w:trPr>
        <w:tc>
          <w:tcPr>
            <w:tcMar>
              <w:top w:w="108" w:type="dxa"/>
              <w:bottom w:w="108" w:type="dxa"/>
            </w:tcMar>
          </w:tcPr>
          <w:p>
            <w:pPr>
              <w:pStyle w:val="BodyText"/>
            </w:pPr>
            <w:pPr>
              <w:spacing w:before="16" w:after="16"/>
            </w:pPr>
            <w:r>
              <w:t xml:space="preserve">There is no universally most interesting rule. If the objective is</w:t>
            </w:r>
            <w:r>
              <w:t xml:space="preserve"> </w:t>
            </w:r>
            <w:r>
              <w:rPr>
                <w:b/>
                <w:bCs/>
              </w:rPr>
              <w:t xml:space="preserve">coverage</w:t>
            </w:r>
            <w:r>
              <w:t xml:space="preserve">, support matters. If it is</w:t>
            </w:r>
            <w:r>
              <w:t xml:space="preserve"> </w:t>
            </w:r>
            <w:r>
              <w:rPr>
                <w:b/>
                <w:bCs/>
              </w:rPr>
              <w:t xml:space="preserve">directional reliability</w:t>
            </w:r>
            <w:r>
              <w:t xml:space="preserve">, confidence matters. If it is</w:t>
            </w:r>
            <w:r>
              <w:t xml:space="preserve"> </w:t>
            </w:r>
            <w:r>
              <w:rPr>
                <w:b/>
                <w:bCs/>
              </w:rPr>
              <w:t xml:space="preserve">departure from independence</w:t>
            </w:r>
            <w:r>
              <w:t xml:space="preserve">, lift matters. A high-lift rule with very low support should still be interpreted cautiously because it is estimated from few observations.</w:t>
            </w:r>
          </w:p>
          <w:p/>
        </w:tc>
      </w:tr>
    </w:tbl>
    <w:bookmarkEnd w:id="42"/>
    <w:bookmarkEnd w:id="43"/>
    <w:sectPr>
      <w:pgMar w:bottom="1123" w:left="1238" w:right="123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before="0" w:line="254" w:lineRule="auto"/>
    </w:pPr>
    <w:rPr>
      <w:rFonts w:ascii="Arial" w:cs="Arial" w:eastAsia="Arial" w:hAnsi="Arial"/>
      <w:color w:val="20262D"/>
      <w:sz w:val="21"/>
      <w:lang w:val="en-GB"/>
    </w:rPr>
  </w:style>
  <w:style w:styleId="BodyText" w:type="paragraph">
    <w:name w:val="Body Text"/>
    <w:basedOn w:val="Normal"/>
    <w:link w:val="BodyTextChar"/>
    <w:qFormat/>
    <w:pPr>
      <w:spacing w:after="100" w:before="0" w:line="254" w:lineRule="auto"/>
    </w:pPr>
    <w:rPr>
      <w:rFonts w:ascii="Arial" w:cs="Arial" w:eastAsia="Arial" w:hAnsi="Arial"/>
      <w:color w:val="20262D"/>
      <w:sz w:val="21"/>
      <w:lang w:val="en-GB"/>
    </w:rPr>
  </w:style>
  <w:style w:customStyle="1" w:styleId="FirstParagraph" w:type="paragraph">
    <w:name w:val="First Paragraph"/>
    <w:basedOn w:val="BodyText"/>
    <w:next w:val="BodyText"/>
    <w:qFormat/>
    <w:pPr>
      <w:spacing w:after="100" w:before="0" w:line="254" w:lineRule="auto"/>
    </w:pPr>
    <w:rPr>
      <w:rFonts w:ascii="Arial" w:cs="Arial" w:eastAsia="Arial" w:hAnsi="Arial"/>
      <w:color w:val="20262D"/>
      <w:sz w:val="21"/>
      <w:lang w:val="en-GB"/>
    </w:rPr>
  </w:style>
  <w:style w:customStyle="1" w:styleId="Compact" w:type="paragraph">
    <w:name w:val="Compact"/>
    <w:basedOn w:val="BodyText"/>
    <w:qFormat/>
    <w:pPr>
      <w:spacing w:after="40" w:before="0" w:line="245" w:lineRule="auto"/>
    </w:pPr>
    <w:rPr>
      <w:rFonts w:ascii="Arial" w:cs="Arial" w:eastAsia="Arial" w:hAnsi="Arial"/>
      <w:color w:val="20262D"/>
      <w:sz w:val="20"/>
    </w:rPr>
  </w:style>
  <w:style w:styleId="Title" w:type="paragraph">
    <w:name w:val="Title"/>
    <w:basedOn w:val="Normal"/>
    <w:next w:val="BodyText"/>
    <w:qFormat/>
    <w:pPr>
      <w:keepNext/>
      <w:keepLines/>
      <w:spacing w:after="160" w:before="0" w:line="240" w:lineRule="auto"/>
      <w:jc w:val="center"/>
    </w:pPr>
    <w:rPr>
      <w:rFonts w:ascii="Arial" w:asciiTheme="majorHAnsi" w:cs="Arial" w:cstheme="majorBidi" w:eastAsia="Arial" w:eastAsiaTheme="majorEastAsia" w:hAnsi="Arial" w:hAnsiTheme="majorHAnsi"/>
      <w:b/>
      <w:bCs/>
      <w:color w:val="20262D"/>
      <w:sz w:val="42"/>
      <w:szCs w:val="36"/>
    </w:rPr>
  </w:style>
  <w:style w:styleId="Subtitle" w:type="paragraph">
    <w:name w:val="Subtitle"/>
    <w:basedOn w:val="Title"/>
    <w:next w:val="BodyText"/>
    <w:qFormat/>
    <w:pPr>
      <w:keepNext/>
      <w:keepLines/>
      <w:spacing w:after="160" w:before="0" w:line="240" w:lineRule="auto"/>
      <w:jc w:val="center"/>
    </w:pPr>
    <w:rPr>
      <w:rFonts w:ascii="Arial" w:cs="Arial" w:eastAsia="Arial" w:hAnsi="Arial"/>
      <w:color w:val="66717C"/>
      <w:sz w:val="2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80" w:line="240" w:lineRule="auto"/>
      <w:outlineLvl w:val="0"/>
    </w:pPr>
    <w:rPr>
      <w:rFonts w:ascii="Arial" w:asciiTheme="majorHAnsi" w:cs="Arial" w:cstheme="majorBidi" w:eastAsia="Arial" w:eastAsiaTheme="majorEastAsia" w:hAnsi="Arial" w:hAnsiTheme="majorHAnsi"/>
      <w:b/>
      <w:bCs/>
      <w:color w:val="20262D"/>
      <w:sz w:val="32"/>
      <w:szCs w:val="32"/>
    </w:rPr>
  </w:style>
  <w:style w:styleId="Heading2" w:type="paragraph">
    <w:name w:val="Heading 2"/>
    <w:basedOn w:val="Normal"/>
    <w:next w:val="BodyText"/>
    <w:uiPriority w:val="9"/>
    <w:unhideWhenUsed/>
    <w:qFormat/>
    <w:pPr>
      <w:keepNext/>
      <w:keepLines/>
      <w:spacing w:after="80" w:before="220" w:line="240" w:lineRule="auto"/>
      <w:outlineLvl w:val="1"/>
    </w:pPr>
    <w:rPr>
      <w:rFonts w:ascii="Arial" w:asciiTheme="majorHAnsi" w:cs="Arial" w:cstheme="majorBidi" w:eastAsia="Arial" w:eastAsiaTheme="majorEastAsia" w:hAnsi="Arial" w:hAnsiTheme="majorHAnsi"/>
      <w:b/>
      <w:bCs/>
      <w:color w:val="20262D"/>
      <w:sz w:val="26"/>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Arial" w:asciiTheme="majorHAnsi" w:cs="Arial" w:cstheme="majorBidi" w:eastAsia="Arial" w:eastAsiaTheme="majorEastAsia" w:hAnsi="Arial" w:hAnsiTheme="majorHAnsi"/>
      <w:b/>
      <w:bCs/>
      <w:color w:val="20262D"/>
      <w:sz w:val="22"/>
      <w:szCs w:val="24"/>
    </w:rPr>
  </w:style>
  <w:style w:styleId="Heading4" w:type="paragraph">
    <w:name w:val="Heading 4"/>
    <w:basedOn w:val="Normal"/>
    <w:next w:val="BodyText"/>
    <w:uiPriority w:val="9"/>
    <w:unhideWhenUsed/>
    <w:qFormat/>
    <w:pPr>
      <w:keepNext/>
      <w:keepLines/>
      <w:spacing w:after="60" w:before="140" w:line="240" w:lineRule="auto"/>
      <w:outlineLvl w:val="3"/>
    </w:pPr>
    <w:rPr>
      <w:rFonts w:ascii="Arial" w:asciiTheme="majorHAnsi" w:cs="Arial" w:cstheme="majorBidi" w:eastAsia="Arial" w:eastAsiaTheme="majorEastAsia" w:hAnsi="Arial" w:hAnsiTheme="majorHAnsi"/>
      <w:b/>
      <w:bCs/>
      <w:i/>
      <w:color w:val="20262D"/>
      <w:sz w:val="21"/>
      <w:szCs w:val="24"/>
    </w:rPr>
  </w:style>
  <w:style w:styleId="Heading5" w:type="paragraph">
    <w:name w:val="Heading 5"/>
    <w:basedOn w:val="Normal"/>
    <w:next w:val="BodyText"/>
    <w:uiPriority w:val="9"/>
    <w:unhideWhenUsed/>
    <w:qFormat/>
    <w:pPr>
      <w:keepNext/>
      <w:keepLines/>
      <w:spacing w:after="60" w:before="140" w:line="240" w:lineRule="auto"/>
      <w:outlineLvl w:val="4"/>
    </w:pPr>
    <w:rPr>
      <w:rFonts w:ascii="Arial" w:asciiTheme="majorHAnsi" w:cs="Arial" w:cstheme="majorBidi" w:eastAsia="Arial" w:eastAsiaTheme="majorEastAsia" w:hAnsi="Arial" w:hAnsiTheme="majorHAnsi"/>
      <w:b/>
      <w:iCs/>
      <w:color w:val="20262D"/>
      <w:sz w:val="21"/>
      <w:szCs w:val="24"/>
    </w:rPr>
  </w:style>
  <w:style w:styleId="Heading6" w:type="paragraph">
    <w:name w:val="Heading 6"/>
    <w:basedOn w:val="Normal"/>
    <w:next w:val="BodyText"/>
    <w:uiPriority w:val="9"/>
    <w:unhideWhenUsed/>
    <w:qFormat/>
    <w:pPr>
      <w:keepNext/>
      <w:keepLines/>
      <w:spacing w:after="60" w:before="140" w:line="240" w:lineRule="auto"/>
      <w:outlineLvl w:val="5"/>
    </w:pPr>
    <w:rPr>
      <w:rFonts w:ascii="Arial" w:asciiTheme="majorHAnsi" w:cs="Arial" w:cstheme="majorBidi" w:eastAsia="Arial" w:eastAsiaTheme="majorEastAsia" w:hAnsi="Arial" w:hAnsiTheme="majorHAnsi"/>
      <w:b/>
      <w:color w:val="20262D"/>
      <w:sz w:val="21"/>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40" w:before="100" w:line="250" w:lineRule="auto"/>
      <w:ind w:firstLine="0" w:left="317" w:right="115"/>
      <w:shd w:fill="F4F7F9"/>
      <w:pBdr>
        <w:left w:color="315A7D" w:space="7" w:sz="18" w:val="single"/>
      </w:pBdr>
    </w:pPr>
    <w:rPr>
      <w:rFonts w:ascii="Arial" w:cs="Arial" w:eastAsia="Arial" w:hAnsi="Arial"/>
      <w:color w:val="20262D"/>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color w:val="20262D"/>
      <w:sz w:val="19"/>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40" w:before="40" w:line="240" w:lineRule="auto"/>
    </w:pPr>
    <w:rPr>
      <w:rFonts w:ascii="Arial" w:cs="Arial" w:eastAsia="Arial" w:hAnsi="Arial"/>
      <w:i/>
      <w:color w:val="66717C"/>
      <w:sz w:val="18"/>
    </w:rPr>
  </w:style>
  <w:style w:customStyle="1" w:styleId="TableCaption" w:type="paragraph">
    <w:name w:val="Table Caption"/>
    <w:basedOn w:val="Caption"/>
    <w:pPr>
      <w:keepNext/>
      <w:spacing w:after="140" w:before="40" w:line="240" w:lineRule="auto"/>
    </w:pPr>
    <w:rPr>
      <w:rFonts w:ascii="Arial" w:cs="Arial" w:eastAsia="Arial" w:hAnsi="Arial"/>
      <w:color w:val="66717C"/>
      <w:sz w:val="18"/>
    </w:rPr>
  </w:style>
  <w:style w:customStyle="1" w:styleId="ImageCaption" w:type="paragraph">
    <w:name w:val="Image Caption"/>
    <w:basedOn w:val="Caption"/>
    <w:pPr>
      <w:spacing w:after="140" w:before="40" w:line="240" w:lineRule="auto"/>
    </w:pPr>
    <w:rPr>
      <w:rFonts w:ascii="Arial" w:cs="Arial" w:eastAsia="Arial" w:hAnsi="Arial"/>
      <w:color w:val="66717C"/>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I — Hands-On 10 — Worked Solutions</dc:title>
  <dc:creator/>
  <cp:keywords/>
  <dcterms:created xsi:type="dcterms:W3CDTF">2026-10-03T15:54:08Z</dcterms:created>
  <dcterms:modified xsi:type="dcterms:W3CDTF">2026-10-03T15:54:08Z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andout-image-scale">
    <vt:lpwstr>0.85</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