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0D47" w:rsidRDefault="0011139C">
      <w:pPr>
        <w:pStyle w:val="Ttulo1"/>
      </w:pPr>
      <w:r>
        <w:t>Projeto DAMA — Marketing Estratégico (QSoft)</w:t>
      </w:r>
    </w:p>
    <w:p w:rsidR="00FE59A4" w:rsidRDefault="00FE59A4">
      <w:r>
        <w:t>Gustavo Gomes</w:t>
      </w:r>
    </w:p>
    <w:p w:rsidR="00FE59A4" w:rsidRDefault="00FE59A4">
      <w:r>
        <w:t xml:space="preserve">Ana Proença </w:t>
      </w:r>
    </w:p>
    <w:p w:rsidR="00FE59A4" w:rsidRDefault="00FE59A4">
      <w:r>
        <w:t>Ricardo Matteo</w:t>
      </w:r>
    </w:p>
    <w:p w:rsidR="00FE59A4" w:rsidRDefault="00FE59A4">
      <w:r>
        <w:t>Kaique Souto</w:t>
      </w:r>
      <w:bookmarkStart w:id="0" w:name="_GoBack"/>
      <w:bookmarkEnd w:id="0"/>
    </w:p>
    <w:p w:rsidR="003F0D47" w:rsidRDefault="0011139C">
      <w:pPr>
        <w:pStyle w:val="Ttulo2"/>
      </w:pPr>
      <w:r>
        <w:t>1. Segmentação de mercado</w:t>
      </w:r>
    </w:p>
    <w:p w:rsidR="003F0D47" w:rsidRDefault="0011139C">
      <w:r>
        <w:t xml:space="preserve">A QSoft deve segmentar por </w:t>
      </w:r>
      <w:r>
        <w:rPr>
          <w:b/>
        </w:rPr>
        <w:t>setor + maturidade em dados</w:t>
      </w:r>
      <w:r>
        <w:t>, e priorizar empresas de saúde de porte médio e grande com maturidade intermediária: já têm dados e sistemas, mas ainda não os transformam em decisão. Essa escolha parte do diagnóstico anterior, em que o gargalo é valor percebido (W1), não capacidade técnica (F1).</w:t>
      </w:r>
    </w:p>
    <w:p w:rsidR="003F0D47" w:rsidRDefault="0011139C">
      <w:pPr>
        <w:pStyle w:val="Ttulo3"/>
      </w:pPr>
      <w:r>
        <w:t>1.1 Bases de segmentação</w:t>
      </w:r>
    </w:p>
    <w:p w:rsidR="003F0D47" w:rsidRDefault="0011139C">
      <w:r>
        <w:t>Em B2B de serviços, o porte sozinho não explica a compra. Foram combinadas quatro bases, cada uma ligada a uma constatação do diagnóstico.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3027"/>
        <w:gridCol w:w="2515"/>
        <w:gridCol w:w="3818"/>
      </w:tblGrid>
      <w:tr w:rsidR="003F0D47">
        <w:trPr>
          <w:tblHeader/>
        </w:trPr>
        <w:tc>
          <w:tcPr>
            <w:tcW w:w="3027" w:type="dxa"/>
            <w:shd w:val="clear" w:color="auto" w:fill="F2F2F2"/>
          </w:tcPr>
          <w:p w:rsidR="003F0D47" w:rsidRDefault="0011139C">
            <w:r>
              <w:t>Base</w:t>
            </w:r>
          </w:p>
        </w:tc>
        <w:tc>
          <w:tcPr>
            <w:tcW w:w="2515" w:type="dxa"/>
            <w:shd w:val="clear" w:color="auto" w:fill="F2F2F2"/>
          </w:tcPr>
          <w:p w:rsidR="003F0D47" w:rsidRDefault="0011139C">
            <w:r>
              <w:t>Variáveis</w:t>
            </w:r>
          </w:p>
        </w:tc>
        <w:tc>
          <w:tcPr>
            <w:tcW w:w="3818" w:type="dxa"/>
            <w:shd w:val="clear" w:color="auto" w:fill="F2F2F2"/>
          </w:tcPr>
          <w:p w:rsidR="003F0D47" w:rsidRDefault="0011139C">
            <w:r>
              <w:t>Por que importa para a QSoft</w:t>
            </w:r>
          </w:p>
        </w:tc>
      </w:tr>
      <w:tr w:rsidR="003F0D47">
        <w:tc>
          <w:tcPr>
            <w:tcW w:w="3027" w:type="dxa"/>
          </w:tcPr>
          <w:p w:rsidR="003F0D47" w:rsidRDefault="0011139C">
            <w:r>
              <w:t>Setor (firmográfica)</w:t>
            </w:r>
          </w:p>
        </w:tc>
        <w:tc>
          <w:tcPr>
            <w:tcW w:w="2515" w:type="dxa"/>
          </w:tcPr>
          <w:p w:rsidR="003F0D47" w:rsidRDefault="0011139C">
            <w:r>
              <w:t>Saúde, financeiro e seguros, indústria, outros</w:t>
            </w:r>
          </w:p>
        </w:tc>
        <w:tc>
          <w:tcPr>
            <w:tcW w:w="3818" w:type="dxa"/>
          </w:tcPr>
          <w:p w:rsidR="003F0D47" w:rsidRDefault="0011139C">
            <w:r>
              <w:t>Define regulação, dados disponíveis e cases reaproveitáveis (F6, O3, O6)</w:t>
            </w:r>
          </w:p>
        </w:tc>
      </w:tr>
      <w:tr w:rsidR="003F0D47">
        <w:tc>
          <w:tcPr>
            <w:tcW w:w="3027" w:type="dxa"/>
          </w:tcPr>
          <w:p w:rsidR="003F0D47" w:rsidRDefault="0011139C">
            <w:r>
              <w:t>Porte (firmográfica)</w:t>
            </w:r>
          </w:p>
        </w:tc>
        <w:tc>
          <w:tcPr>
            <w:tcW w:w="2515" w:type="dxa"/>
          </w:tcPr>
          <w:p w:rsidR="003F0D47" w:rsidRDefault="0011139C">
            <w:r>
              <w:t>Médias e grandes empresas</w:t>
            </w:r>
          </w:p>
        </w:tc>
        <w:tc>
          <w:tcPr>
            <w:tcW w:w="3818" w:type="dxa"/>
          </w:tcPr>
          <w:p w:rsidR="003F0D47" w:rsidRDefault="0011139C">
            <w:r>
              <w:t>Contratos de 12 a 36 meses e projetos de dados pedem orçamento e volume de dados (F4)</w:t>
            </w:r>
          </w:p>
        </w:tc>
      </w:tr>
      <w:tr w:rsidR="003F0D47">
        <w:tc>
          <w:tcPr>
            <w:tcW w:w="3027" w:type="dxa"/>
          </w:tcPr>
          <w:p w:rsidR="003F0D47" w:rsidRDefault="0011139C">
            <w:r>
              <w:t>Maturidade em dados e IA</w:t>
            </w:r>
          </w:p>
        </w:tc>
        <w:tc>
          <w:tcPr>
            <w:tcW w:w="2515" w:type="dxa"/>
          </w:tcPr>
          <w:p w:rsidR="003F0D47" w:rsidRDefault="0011139C">
            <w:r>
              <w:t>Inicial, intermediária, avançada</w:t>
            </w:r>
          </w:p>
        </w:tc>
        <w:tc>
          <w:tcPr>
            <w:tcW w:w="3818" w:type="dxa"/>
          </w:tcPr>
          <w:p w:rsidR="003F0D47" w:rsidRDefault="0011139C">
            <w:r>
              <w:t>Decide se a venda é educação, projeto ou evolução; é onde está o gargalo de valor percebido (W1, O2)</w:t>
            </w:r>
          </w:p>
        </w:tc>
      </w:tr>
      <w:tr w:rsidR="003F0D47">
        <w:tc>
          <w:tcPr>
            <w:tcW w:w="3027" w:type="dxa"/>
          </w:tcPr>
          <w:p w:rsidR="003F0D47" w:rsidRDefault="0011139C">
            <w:r>
              <w:t>Comportamento de compra</w:t>
            </w:r>
          </w:p>
        </w:tc>
        <w:tc>
          <w:tcPr>
            <w:tcW w:w="2515" w:type="dxa"/>
          </w:tcPr>
          <w:p w:rsidR="003F0D47" w:rsidRDefault="0011139C">
            <w:r>
              <w:t>Gatilho (regulação, auditoria, crise de dados), alternativa considerada (interno, ferramenta pronta, adiar)</w:t>
            </w:r>
          </w:p>
        </w:tc>
        <w:tc>
          <w:tcPr>
            <w:tcW w:w="3818" w:type="dxa"/>
          </w:tcPr>
          <w:p w:rsidR="003F0D47" w:rsidRDefault="0011139C">
            <w:r>
              <w:t>Revela o substituto a vencer em cada conta (A1)</w:t>
            </w:r>
          </w:p>
        </w:tc>
      </w:tr>
    </w:tbl>
    <w:p w:rsidR="002B74E9" w:rsidRDefault="002B74E9">
      <w:pPr>
        <w:pStyle w:val="Ttulo3"/>
      </w:pPr>
    </w:p>
    <w:p w:rsidR="002B74E9" w:rsidRDefault="002B74E9">
      <w:pPr>
        <w:pStyle w:val="Ttulo3"/>
      </w:pPr>
    </w:p>
    <w:p w:rsidR="002B74E9" w:rsidRDefault="002B74E9">
      <w:pPr>
        <w:pStyle w:val="Ttulo3"/>
      </w:pPr>
    </w:p>
    <w:p w:rsidR="002B74E9" w:rsidRDefault="002B74E9">
      <w:pPr>
        <w:pStyle w:val="Ttulo3"/>
      </w:pPr>
    </w:p>
    <w:p w:rsidR="003F0D47" w:rsidRDefault="0011139C">
      <w:pPr>
        <w:pStyle w:val="Ttulo3"/>
      </w:pPr>
      <w:r>
        <w:t>1.2 Segmentos identificados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642"/>
        <w:gridCol w:w="2306"/>
        <w:gridCol w:w="2557"/>
        <w:gridCol w:w="1853"/>
        <w:gridCol w:w="1002"/>
      </w:tblGrid>
      <w:tr w:rsidR="003F0D47">
        <w:trPr>
          <w:tblHeader/>
        </w:trPr>
        <w:tc>
          <w:tcPr>
            <w:tcW w:w="1642" w:type="dxa"/>
            <w:shd w:val="clear" w:color="auto" w:fill="F2F2F2"/>
          </w:tcPr>
          <w:p w:rsidR="003F0D47" w:rsidRDefault="0011139C">
            <w:r>
              <w:t>Segmento</w:t>
            </w:r>
          </w:p>
        </w:tc>
        <w:tc>
          <w:tcPr>
            <w:tcW w:w="2306" w:type="dxa"/>
            <w:shd w:val="clear" w:color="auto" w:fill="F2F2F2"/>
          </w:tcPr>
          <w:p w:rsidR="003F0D47" w:rsidRDefault="0011139C">
            <w:r>
              <w:t>Perfil</w:t>
            </w:r>
          </w:p>
        </w:tc>
        <w:tc>
          <w:tcPr>
            <w:tcW w:w="2557" w:type="dxa"/>
            <w:shd w:val="clear" w:color="auto" w:fill="F2F2F2"/>
          </w:tcPr>
          <w:p w:rsidR="003F0D47" w:rsidRDefault="0011139C">
            <w:r>
              <w:t>Dor dominante</w:t>
            </w:r>
          </w:p>
        </w:tc>
        <w:tc>
          <w:tcPr>
            <w:tcW w:w="1853" w:type="dxa"/>
            <w:shd w:val="clear" w:color="auto" w:fill="F2F2F2"/>
          </w:tcPr>
          <w:p w:rsidR="003F0D47" w:rsidRDefault="0011139C">
            <w:r>
              <w:t>Alternativa que o cliente considera</w:t>
            </w:r>
          </w:p>
        </w:tc>
        <w:tc>
          <w:tcPr>
            <w:tcW w:w="1002" w:type="dxa"/>
            <w:shd w:val="clear" w:color="auto" w:fill="F2F2F2"/>
          </w:tcPr>
          <w:p w:rsidR="003F0D47" w:rsidRDefault="0011139C">
            <w:r>
              <w:t>Origem na análise</w:t>
            </w:r>
          </w:p>
        </w:tc>
      </w:tr>
      <w:tr w:rsidR="003F0D47">
        <w:tc>
          <w:tcPr>
            <w:tcW w:w="1642" w:type="dxa"/>
          </w:tcPr>
          <w:p w:rsidR="003F0D47" w:rsidRDefault="0011139C">
            <w:r>
              <w:t>S1. Saúde, maturidade intermediária</w:t>
            </w:r>
          </w:p>
        </w:tc>
        <w:tc>
          <w:tcPr>
            <w:tcW w:w="2306" w:type="dxa"/>
          </w:tcPr>
          <w:p w:rsidR="003F0D47" w:rsidRDefault="0011139C">
            <w:r>
              <w:t>Hospitais, operadoras, laboratórios e healthtechs de porte médio e grande</w:t>
            </w:r>
          </w:p>
        </w:tc>
        <w:tc>
          <w:tcPr>
            <w:tcW w:w="2557" w:type="dxa"/>
          </w:tcPr>
          <w:p w:rsidR="003F0D47" w:rsidRDefault="0011139C">
            <w:r>
              <w:t>Dados dispersos entre sistemas, pressão regulatória e de eficiência</w:t>
            </w:r>
          </w:p>
        </w:tc>
        <w:tc>
          <w:tcPr>
            <w:tcW w:w="1853" w:type="dxa"/>
          </w:tcPr>
          <w:p w:rsidR="003F0D47" w:rsidRDefault="0011139C">
            <w:r>
              <w:t>Equipe interna de TI/BI; ferramenta já licenciada</w:t>
            </w:r>
          </w:p>
        </w:tc>
        <w:tc>
          <w:tcPr>
            <w:tcW w:w="1002" w:type="dxa"/>
          </w:tcPr>
          <w:p w:rsidR="003F0D47" w:rsidRDefault="0011139C">
            <w:r>
              <w:t>F6, F1, O5</w:t>
            </w:r>
          </w:p>
        </w:tc>
      </w:tr>
      <w:tr w:rsidR="003F0D47">
        <w:tc>
          <w:tcPr>
            <w:tcW w:w="1642" w:type="dxa"/>
          </w:tcPr>
          <w:p w:rsidR="003F0D47" w:rsidRDefault="0011139C">
            <w:r>
              <w:t>S2. Financeiro e seguros</w:t>
            </w:r>
          </w:p>
        </w:tc>
        <w:tc>
          <w:tcPr>
            <w:tcW w:w="2306" w:type="dxa"/>
          </w:tcPr>
          <w:p w:rsidR="003F0D47" w:rsidRDefault="0011139C">
            <w:r>
              <w:t>Bancos médios, cooperativas, seguradoras, corretoras</w:t>
            </w:r>
          </w:p>
        </w:tc>
        <w:tc>
          <w:tcPr>
            <w:tcW w:w="2557" w:type="dxa"/>
          </w:tcPr>
          <w:p w:rsidR="003F0D47" w:rsidRDefault="0011139C">
            <w:r>
              <w:t>Grande volume de dados, regulação, necessidade de análise de risco e de cliente</w:t>
            </w:r>
          </w:p>
        </w:tc>
        <w:tc>
          <w:tcPr>
            <w:tcW w:w="1853" w:type="dxa"/>
          </w:tcPr>
          <w:p w:rsidR="003F0D47" w:rsidRDefault="0011139C">
            <w:r>
              <w:t>Contratar um profissional; grandes consultorias</w:t>
            </w:r>
          </w:p>
        </w:tc>
        <w:tc>
          <w:tcPr>
            <w:tcW w:w="1002" w:type="dxa"/>
          </w:tcPr>
          <w:p w:rsidR="003F0D47" w:rsidRDefault="0011139C">
            <w:r>
              <w:t>O3, FO2</w:t>
            </w:r>
          </w:p>
        </w:tc>
      </w:tr>
      <w:tr w:rsidR="003F0D47">
        <w:tc>
          <w:tcPr>
            <w:tcW w:w="1642" w:type="dxa"/>
          </w:tcPr>
          <w:p w:rsidR="003F0D47" w:rsidRDefault="0011139C">
            <w:r>
              <w:t>S3. Indústria</w:t>
            </w:r>
          </w:p>
        </w:tc>
        <w:tc>
          <w:tcPr>
            <w:tcW w:w="2306" w:type="dxa"/>
          </w:tcPr>
          <w:p w:rsidR="003F0D47" w:rsidRDefault="0011139C">
            <w:r>
              <w:t>Indústrias de transformação de porte médio e grande</w:t>
            </w:r>
          </w:p>
        </w:tc>
        <w:tc>
          <w:tcPr>
            <w:tcW w:w="2557" w:type="dxa"/>
          </w:tcPr>
          <w:p w:rsidR="003F0D47" w:rsidRDefault="0011139C">
            <w:r>
              <w:t>Dados de operação e cadeia sem integração; ganho de eficiência</w:t>
            </w:r>
          </w:p>
        </w:tc>
        <w:tc>
          <w:tcPr>
            <w:tcW w:w="1853" w:type="dxa"/>
          </w:tcPr>
          <w:p w:rsidR="003F0D47" w:rsidRDefault="0011139C">
            <w:r>
              <w:t>Fazer internamente; integradores já contratados</w:t>
            </w:r>
          </w:p>
        </w:tc>
        <w:tc>
          <w:tcPr>
            <w:tcW w:w="1002" w:type="dxa"/>
          </w:tcPr>
          <w:p w:rsidR="003F0D47" w:rsidRDefault="0011139C">
            <w:r>
              <w:t>O6, DO3</w:t>
            </w:r>
          </w:p>
        </w:tc>
      </w:tr>
      <w:tr w:rsidR="003F0D47">
        <w:tc>
          <w:tcPr>
            <w:tcW w:w="1642" w:type="dxa"/>
          </w:tcPr>
          <w:p w:rsidR="003F0D47" w:rsidRDefault="0011139C">
            <w:r>
              <w:t>S4. Baixa maturidade, vários setores</w:t>
            </w:r>
          </w:p>
        </w:tc>
        <w:tc>
          <w:tcPr>
            <w:tcW w:w="2306" w:type="dxa"/>
          </w:tcPr>
          <w:p w:rsidR="003F0D47" w:rsidRDefault="0011139C">
            <w:r>
              <w:t>Empresas que ainda não usam dados e IA de forma estruturada</w:t>
            </w:r>
          </w:p>
        </w:tc>
        <w:tc>
          <w:tcPr>
            <w:tcW w:w="2557" w:type="dxa"/>
          </w:tcPr>
          <w:p w:rsidR="003F0D47" w:rsidRDefault="0011139C">
            <w:r>
              <w:t>Não enxergam valor nem sabem por onde começar</w:t>
            </w:r>
          </w:p>
        </w:tc>
        <w:tc>
          <w:tcPr>
            <w:tcW w:w="1853" w:type="dxa"/>
          </w:tcPr>
          <w:p w:rsidR="003F0D47" w:rsidRDefault="0011139C">
            <w:r>
              <w:t>Não fazer nada</w:t>
            </w:r>
          </w:p>
        </w:tc>
        <w:tc>
          <w:tcPr>
            <w:tcW w:w="1002" w:type="dxa"/>
          </w:tcPr>
          <w:p w:rsidR="003F0D47" w:rsidRDefault="0011139C">
            <w:r>
              <w:t>O2, W1, FO3</w:t>
            </w:r>
          </w:p>
        </w:tc>
      </w:tr>
    </w:tbl>
    <w:p w:rsidR="003F0D47" w:rsidRDefault="0011139C">
      <w:pPr>
        <w:pStyle w:val="Ttulo3"/>
      </w:pPr>
      <w:r>
        <w:t>1.3 Priorização</w:t>
      </w:r>
    </w:p>
    <w:p w:rsidR="003F0D47" w:rsidRDefault="0011139C">
      <w:r>
        <w:t xml:space="preserve">Para evitar notas numéricas sem base, apontadas pela professora no trabalho anterior, a priorização usa quatro critérios qualitativos, cada um com </w:t>
      </w:r>
      <w:proofErr w:type="gramStart"/>
      <w:r>
        <w:t>a</w:t>
      </w:r>
      <w:proofErr w:type="gramEnd"/>
      <w:r>
        <w:t xml:space="preserve"> evidência que o sustenta. Onde não há dado, a célula diz </w:t>
      </w:r>
      <w:r>
        <w:rPr>
          <w:b/>
        </w:rPr>
        <w:t>a validar</w:t>
      </w:r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391"/>
        <w:gridCol w:w="1499"/>
        <w:gridCol w:w="1756"/>
        <w:gridCol w:w="1730"/>
        <w:gridCol w:w="1424"/>
        <w:gridCol w:w="1560"/>
      </w:tblGrid>
      <w:tr w:rsidR="003F0D47">
        <w:trPr>
          <w:tblHeader/>
        </w:trPr>
        <w:tc>
          <w:tcPr>
            <w:tcW w:w="1391" w:type="dxa"/>
            <w:shd w:val="clear" w:color="auto" w:fill="F2F2F2"/>
          </w:tcPr>
          <w:p w:rsidR="003F0D47" w:rsidRDefault="0011139C">
            <w:r>
              <w:t>Segmento</w:t>
            </w:r>
          </w:p>
        </w:tc>
        <w:tc>
          <w:tcPr>
            <w:tcW w:w="1499" w:type="dxa"/>
            <w:shd w:val="clear" w:color="auto" w:fill="F2F2F2"/>
          </w:tcPr>
          <w:p w:rsidR="003F0D47" w:rsidRDefault="0011139C">
            <w:r>
              <w:t>Aderência ao portfólio</w:t>
            </w:r>
          </w:p>
        </w:tc>
        <w:tc>
          <w:tcPr>
            <w:tcW w:w="1756" w:type="dxa"/>
            <w:shd w:val="clear" w:color="auto" w:fill="F2F2F2"/>
          </w:tcPr>
          <w:p w:rsidR="003F0D47" w:rsidRDefault="0011139C">
            <w:r>
              <w:t>Acesso e credibilidade</w:t>
            </w:r>
          </w:p>
        </w:tc>
        <w:tc>
          <w:tcPr>
            <w:tcW w:w="1730" w:type="dxa"/>
            <w:shd w:val="clear" w:color="auto" w:fill="F2F2F2"/>
          </w:tcPr>
          <w:p w:rsidR="003F0D47" w:rsidRDefault="0011139C">
            <w:r>
              <w:t>Tamanho e crescimento</w:t>
            </w:r>
          </w:p>
        </w:tc>
        <w:tc>
          <w:tcPr>
            <w:tcW w:w="1424" w:type="dxa"/>
            <w:shd w:val="clear" w:color="auto" w:fill="F2F2F2"/>
          </w:tcPr>
          <w:p w:rsidR="003F0D47" w:rsidRDefault="0011139C">
            <w:r>
              <w:t>Intensidade da dor</w:t>
            </w:r>
          </w:p>
        </w:tc>
        <w:tc>
          <w:tcPr>
            <w:tcW w:w="1560" w:type="dxa"/>
            <w:shd w:val="clear" w:color="auto" w:fill="F2F2F2"/>
          </w:tcPr>
          <w:p w:rsidR="003F0D47" w:rsidRDefault="0011139C">
            <w:r>
              <w:t>Papel recomendado</w:t>
            </w:r>
          </w:p>
        </w:tc>
      </w:tr>
      <w:tr w:rsidR="003F0D47">
        <w:tc>
          <w:tcPr>
            <w:tcW w:w="1391" w:type="dxa"/>
          </w:tcPr>
          <w:p w:rsidR="003F0D47" w:rsidRDefault="0011139C">
            <w:r>
              <w:t>S1. Saúde</w:t>
            </w:r>
          </w:p>
        </w:tc>
        <w:tc>
          <w:tcPr>
            <w:tcW w:w="1499" w:type="dxa"/>
          </w:tcPr>
          <w:p w:rsidR="003F0D47" w:rsidRDefault="0011139C">
            <w:r>
              <w:t>Alta: BI, engenharia, governança, IA</w:t>
            </w:r>
          </w:p>
        </w:tc>
        <w:tc>
          <w:tcPr>
            <w:tcW w:w="1756" w:type="dxa"/>
          </w:tcPr>
          <w:p w:rsidR="003F0D47" w:rsidRDefault="0011139C">
            <w:r>
              <w:t>Alta: segmento de maior relevância hoje</w:t>
            </w:r>
          </w:p>
        </w:tc>
        <w:tc>
          <w:tcPr>
            <w:tcW w:w="1730" w:type="dxa"/>
          </w:tcPr>
          <w:p w:rsidR="003F0D47" w:rsidRDefault="0011139C">
            <w:r>
              <w:t>A validar com fonte setorial</w:t>
            </w:r>
          </w:p>
        </w:tc>
        <w:tc>
          <w:tcPr>
            <w:tcW w:w="1424" w:type="dxa"/>
          </w:tcPr>
          <w:p w:rsidR="003F0D47" w:rsidRDefault="0011139C">
            <w:r>
              <w:t>Alta: dados sensíveis e regulação</w:t>
            </w:r>
          </w:p>
        </w:tc>
        <w:tc>
          <w:tcPr>
            <w:tcW w:w="1560" w:type="dxa"/>
          </w:tcPr>
          <w:p w:rsidR="003F0D47" w:rsidRDefault="0011139C">
            <w:r>
              <w:rPr>
                <w:b/>
              </w:rPr>
              <w:t>Prioritário (defender e aprofundar)</w:t>
            </w:r>
          </w:p>
        </w:tc>
      </w:tr>
      <w:tr w:rsidR="003F0D47">
        <w:tc>
          <w:tcPr>
            <w:tcW w:w="1391" w:type="dxa"/>
          </w:tcPr>
          <w:p w:rsidR="003F0D47" w:rsidRDefault="0011139C">
            <w:r>
              <w:lastRenderedPageBreak/>
              <w:t>S2. Financeiro e seguros</w:t>
            </w:r>
          </w:p>
        </w:tc>
        <w:tc>
          <w:tcPr>
            <w:tcW w:w="1499" w:type="dxa"/>
          </w:tcPr>
          <w:p w:rsidR="003F0D47" w:rsidRDefault="0011139C">
            <w:r>
              <w:t>Alta: mesmo portfólio, cases adaptáveis</w:t>
            </w:r>
          </w:p>
        </w:tc>
        <w:tc>
          <w:tcPr>
            <w:tcW w:w="1756" w:type="dxa"/>
          </w:tcPr>
          <w:p w:rsidR="003F0D47" w:rsidRDefault="0011139C">
            <w:r>
              <w:t>Média: expansão em curso, marca menor que consultorias globais</w:t>
            </w:r>
          </w:p>
        </w:tc>
        <w:tc>
          <w:tcPr>
            <w:tcW w:w="1730" w:type="dxa"/>
          </w:tcPr>
          <w:p w:rsidR="003F0D47" w:rsidRDefault="0011139C">
            <w:r>
              <w:t>A validar</w:t>
            </w:r>
          </w:p>
        </w:tc>
        <w:tc>
          <w:tcPr>
            <w:tcW w:w="1424" w:type="dxa"/>
          </w:tcPr>
          <w:p w:rsidR="003F0D47" w:rsidRDefault="0011139C">
            <w:r>
              <w:t>Alta: regulação e volume de dados</w:t>
            </w:r>
          </w:p>
        </w:tc>
        <w:tc>
          <w:tcPr>
            <w:tcW w:w="1560" w:type="dxa"/>
          </w:tcPr>
          <w:p w:rsidR="003F0D47" w:rsidRDefault="0011139C">
            <w:r>
              <w:rPr>
                <w:b/>
              </w:rPr>
              <w:t>Expansão (2º horizonte)</w:t>
            </w:r>
          </w:p>
        </w:tc>
      </w:tr>
      <w:tr w:rsidR="003F0D47">
        <w:tc>
          <w:tcPr>
            <w:tcW w:w="1391" w:type="dxa"/>
          </w:tcPr>
          <w:p w:rsidR="003F0D47" w:rsidRDefault="0011139C">
            <w:r>
              <w:t>S3. Indústria</w:t>
            </w:r>
          </w:p>
        </w:tc>
        <w:tc>
          <w:tcPr>
            <w:tcW w:w="1499" w:type="dxa"/>
          </w:tcPr>
          <w:p w:rsidR="003F0D47" w:rsidRDefault="0011139C">
            <w:r>
              <w:t xml:space="preserve">Média </w:t>
            </w:r>
            <w:proofErr w:type="gramStart"/>
            <w:r>
              <w:t>a</w:t>
            </w:r>
            <w:proofErr w:type="gramEnd"/>
            <w:r>
              <w:t xml:space="preserve"> alta</w:t>
            </w:r>
          </w:p>
        </w:tc>
        <w:tc>
          <w:tcPr>
            <w:tcW w:w="1756" w:type="dxa"/>
          </w:tcPr>
          <w:p w:rsidR="003F0D47" w:rsidRDefault="0011139C">
            <w:r>
              <w:t>Média: já atendida</w:t>
            </w:r>
          </w:p>
        </w:tc>
        <w:tc>
          <w:tcPr>
            <w:tcW w:w="1730" w:type="dxa"/>
          </w:tcPr>
          <w:p w:rsidR="003F0D47" w:rsidRDefault="0011139C">
            <w:r>
              <w:t>A validar</w:t>
            </w:r>
          </w:p>
        </w:tc>
        <w:tc>
          <w:tcPr>
            <w:tcW w:w="1424" w:type="dxa"/>
          </w:tcPr>
          <w:p w:rsidR="003F0D47" w:rsidRDefault="0011139C">
            <w:r>
              <w:t>Média</w:t>
            </w:r>
          </w:p>
        </w:tc>
        <w:tc>
          <w:tcPr>
            <w:tcW w:w="1560" w:type="dxa"/>
          </w:tcPr>
          <w:p w:rsidR="003F0D47" w:rsidRDefault="0011139C">
            <w:r>
              <w:rPr>
                <w:b/>
              </w:rPr>
              <w:t>Expansão seletiva</w:t>
            </w:r>
          </w:p>
        </w:tc>
      </w:tr>
      <w:tr w:rsidR="003F0D47">
        <w:tc>
          <w:tcPr>
            <w:tcW w:w="1391" w:type="dxa"/>
          </w:tcPr>
          <w:p w:rsidR="003F0D47" w:rsidRDefault="0011139C">
            <w:r>
              <w:t>S4. Baixa maturidade</w:t>
            </w:r>
          </w:p>
        </w:tc>
        <w:tc>
          <w:tcPr>
            <w:tcW w:w="1499" w:type="dxa"/>
          </w:tcPr>
          <w:p w:rsidR="003F0D47" w:rsidRDefault="0011139C">
            <w:r>
              <w:t>Média: entrada por treinamento e diagnóstico</w:t>
            </w:r>
          </w:p>
        </w:tc>
        <w:tc>
          <w:tcPr>
            <w:tcW w:w="1756" w:type="dxa"/>
          </w:tcPr>
          <w:p w:rsidR="003F0D47" w:rsidRDefault="0011139C">
            <w:r>
              <w:t>Média: depende de educação de mercado</w:t>
            </w:r>
          </w:p>
        </w:tc>
        <w:tc>
          <w:tcPr>
            <w:tcW w:w="1730" w:type="dxa"/>
          </w:tcPr>
          <w:p w:rsidR="003F0D47" w:rsidRDefault="0011139C">
            <w:r>
              <w:t>Grande base, baixa adoção: 17% das empresas usam IA, sendo 32% das médias e 50% das grandes (Cetic.br, 2025)</w:t>
            </w:r>
          </w:p>
        </w:tc>
        <w:tc>
          <w:tcPr>
            <w:tcW w:w="1424" w:type="dxa"/>
          </w:tcPr>
          <w:p w:rsidR="003F0D47" w:rsidRDefault="0011139C">
            <w:r>
              <w:t>Baixa percebida</w:t>
            </w:r>
          </w:p>
        </w:tc>
        <w:tc>
          <w:tcPr>
            <w:tcW w:w="1560" w:type="dxa"/>
          </w:tcPr>
          <w:p w:rsidR="003F0D47" w:rsidRDefault="0011139C">
            <w:r>
              <w:rPr>
                <w:b/>
              </w:rPr>
              <w:t>Funil de entrada, não alvo de projetos grandes</w:t>
            </w:r>
          </w:p>
        </w:tc>
      </w:tr>
    </w:tbl>
    <w:p w:rsidR="003F0D47" w:rsidRDefault="0011139C">
      <w:pPr>
        <w:pStyle w:val="Ttulo3"/>
      </w:pPr>
      <w:r>
        <w:t>1.4 Público-alvo e decisores</w:t>
      </w:r>
    </w:p>
    <w:p w:rsidR="003F0D47" w:rsidRDefault="0011139C">
      <w:r>
        <w:t>Em cada segmento a compra envolve mais de uma pessoa. Os papéis abaixo são hipótese do grupo e devem ser confirmados com a QSoft.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983"/>
        <w:gridCol w:w="2770"/>
        <w:gridCol w:w="3606"/>
      </w:tblGrid>
      <w:tr w:rsidR="003F0D47">
        <w:trPr>
          <w:tblHeader/>
        </w:trPr>
        <w:tc>
          <w:tcPr>
            <w:tcW w:w="2983" w:type="dxa"/>
            <w:shd w:val="clear" w:color="auto" w:fill="F2F2F2"/>
          </w:tcPr>
          <w:p w:rsidR="003F0D47" w:rsidRDefault="0011139C">
            <w:r>
              <w:t>Papel</w:t>
            </w:r>
          </w:p>
        </w:tc>
        <w:tc>
          <w:tcPr>
            <w:tcW w:w="2770" w:type="dxa"/>
            <w:shd w:val="clear" w:color="auto" w:fill="F2F2F2"/>
          </w:tcPr>
          <w:p w:rsidR="003F0D47" w:rsidRDefault="0011139C">
            <w:r>
              <w:t>O que busca</w:t>
            </w:r>
          </w:p>
        </w:tc>
        <w:tc>
          <w:tcPr>
            <w:tcW w:w="3606" w:type="dxa"/>
            <w:shd w:val="clear" w:color="auto" w:fill="F2F2F2"/>
          </w:tcPr>
          <w:p w:rsidR="003F0D47" w:rsidRDefault="0011139C">
            <w:r>
              <w:t>Como o marketing fala com ele</w:t>
            </w:r>
          </w:p>
        </w:tc>
      </w:tr>
      <w:tr w:rsidR="003F0D47">
        <w:tc>
          <w:tcPr>
            <w:tcW w:w="2983" w:type="dxa"/>
          </w:tcPr>
          <w:p w:rsidR="003F0D47" w:rsidRDefault="0011139C">
            <w:r>
              <w:t>Patrocinador (diretor, CEO ou CFO)</w:t>
            </w:r>
          </w:p>
        </w:tc>
        <w:tc>
          <w:tcPr>
            <w:tcW w:w="2770" w:type="dxa"/>
          </w:tcPr>
          <w:p w:rsidR="003F0D47" w:rsidRDefault="0011139C">
            <w:r>
              <w:t>Resultado de negócio e controle de custo</w:t>
            </w:r>
          </w:p>
        </w:tc>
        <w:tc>
          <w:tcPr>
            <w:tcW w:w="3606" w:type="dxa"/>
          </w:tcPr>
          <w:p w:rsidR="003F0D47" w:rsidRDefault="0011139C">
            <w:r>
              <w:t>Cases com ROI e diagnóstico do custo de não agir (DA1, FA3)</w:t>
            </w:r>
          </w:p>
        </w:tc>
      </w:tr>
      <w:tr w:rsidR="003F0D47">
        <w:tc>
          <w:tcPr>
            <w:tcW w:w="2983" w:type="dxa"/>
          </w:tcPr>
          <w:p w:rsidR="003F0D47" w:rsidRDefault="0011139C">
            <w:r>
              <w:t>Decisor técnico (CIO, CTO, head de dados)</w:t>
            </w:r>
          </w:p>
        </w:tc>
        <w:tc>
          <w:tcPr>
            <w:tcW w:w="2770" w:type="dxa"/>
          </w:tcPr>
          <w:p w:rsidR="003F0D47" w:rsidRDefault="0011139C">
            <w:r>
              <w:t>Segurança, arquitetura, risco de execução</w:t>
            </w:r>
          </w:p>
        </w:tc>
        <w:tc>
          <w:tcPr>
            <w:tcW w:w="3606" w:type="dxa"/>
          </w:tcPr>
          <w:p w:rsidR="003F0D47" w:rsidRDefault="0011139C">
            <w:r>
              <w:t>Parcerias, certificações e referências técnicas (F3)</w:t>
            </w:r>
          </w:p>
        </w:tc>
      </w:tr>
      <w:tr w:rsidR="003F0D47">
        <w:tc>
          <w:tcPr>
            <w:tcW w:w="2983" w:type="dxa"/>
          </w:tcPr>
          <w:p w:rsidR="003F0D47" w:rsidRDefault="0011139C">
            <w:r>
              <w:t>Usuário-chave (gestor de área, BI interno)</w:t>
            </w:r>
          </w:p>
        </w:tc>
        <w:tc>
          <w:tcPr>
            <w:tcW w:w="2770" w:type="dxa"/>
          </w:tcPr>
          <w:p w:rsidR="003F0D47" w:rsidRDefault="0011139C">
            <w:r>
              <w:t>Resolver o problema do dia a dia</w:t>
            </w:r>
          </w:p>
        </w:tc>
        <w:tc>
          <w:tcPr>
            <w:tcW w:w="3606" w:type="dxa"/>
          </w:tcPr>
          <w:p w:rsidR="003F0D47" w:rsidRDefault="0011139C">
            <w:r>
              <w:t>Treinamentos e demonstrações</w:t>
            </w:r>
          </w:p>
        </w:tc>
      </w:tr>
      <w:tr w:rsidR="003F0D47">
        <w:tc>
          <w:tcPr>
            <w:tcW w:w="2983" w:type="dxa"/>
          </w:tcPr>
          <w:p w:rsidR="003F0D47" w:rsidRDefault="0011139C">
            <w:r>
              <w:t>Influenciador (jurídico, compliance, DPO)</w:t>
            </w:r>
          </w:p>
        </w:tc>
        <w:tc>
          <w:tcPr>
            <w:tcW w:w="2770" w:type="dxa"/>
          </w:tcPr>
          <w:p w:rsidR="003F0D47" w:rsidRDefault="0011139C">
            <w:r>
              <w:t>Conformidade com a LGPD</w:t>
            </w:r>
          </w:p>
        </w:tc>
        <w:tc>
          <w:tcPr>
            <w:tcW w:w="3606" w:type="dxa"/>
          </w:tcPr>
          <w:p w:rsidR="003F0D47" w:rsidRDefault="0011139C">
            <w:r>
              <w:t>Conteúdo de governança (O5)</w:t>
            </w:r>
          </w:p>
        </w:tc>
      </w:tr>
    </w:tbl>
    <w:p w:rsidR="003F0D47" w:rsidRDefault="0011139C">
      <w:pPr>
        <w:pStyle w:val="Ttulo2"/>
      </w:pPr>
      <w:r>
        <w:t>2. Estratégia de posicionamento</w:t>
      </w:r>
    </w:p>
    <w:p w:rsidR="003F0D47" w:rsidRDefault="0011139C">
      <w:r>
        <w:t xml:space="preserve">A QSoft deve se posicionar como </w:t>
      </w:r>
      <w:r>
        <w:rPr>
          <w:b/>
        </w:rPr>
        <w:t>a parceira que transforma dados e IA em resultado de negócio, de forma gradual e comprovada</w:t>
      </w:r>
      <w:r>
        <w:t>, e não como mais uma consultoria de tecnologia. O alvo da comparação não é só outra consultoria: é a decisão de não contratar (A1), que o diagnóstico apontou como o concorrente mais forte.</w:t>
      </w:r>
    </w:p>
    <w:p w:rsidR="003F0D47" w:rsidRDefault="0011139C">
      <w:pPr>
        <w:pStyle w:val="Ttulo3"/>
      </w:pPr>
      <w:r>
        <w:lastRenderedPageBreak/>
        <w:t>2.1 Declaração de posicionamento</w:t>
      </w:r>
    </w:p>
    <w:p w:rsidR="003F0D47" w:rsidRDefault="0011139C">
      <w:pPr>
        <w:pStyle w:val="Citao"/>
      </w:pPr>
      <w:r>
        <w:t>Para gestores de empresas médias e grandes de saúde (e, na expansão, de financeiro, seguros e indústria) que já têm dados, mas não conseguem transformá-los em decisão, a QSoft é a parceira de dados, BI e IA que traduz tecnologia em resultado de negócio, começando por passos pequenos e com retorno comprovado. Diferentemente das grandes consultorias e das soluções de prateleira, entrega com mais de 25 anos de experiência, portfólio integrado e proximidade com o cliente.</w:t>
      </w:r>
    </w:p>
    <w:p w:rsidR="003F0D47" w:rsidRDefault="0011139C">
      <w:r>
        <w:t xml:space="preserve">Sugestão de assinatura de marca: </w:t>
      </w:r>
      <w:r>
        <w:rPr>
          <w:b/>
        </w:rPr>
        <w:t>“Dados que viram decisão.”</w:t>
      </w:r>
    </w:p>
    <w:p w:rsidR="003F0D47" w:rsidRDefault="0011139C">
      <w:pPr>
        <w:pStyle w:val="Ttulo3"/>
      </w:pPr>
      <w:r>
        <w:t>2.2 Pontos de paridade e de diferença</w:t>
      </w:r>
    </w:p>
    <w:p w:rsidR="003F0D47" w:rsidRDefault="0011139C">
      <w:r>
        <w:t>Os pontos de paridade são o que o cliente exige para sequer considerar a QSoft; os de diferença são o que faz escolhê-la.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239"/>
        <w:gridCol w:w="3587"/>
        <w:gridCol w:w="3382"/>
        <w:gridCol w:w="1152"/>
      </w:tblGrid>
      <w:tr w:rsidR="003F0D47">
        <w:trPr>
          <w:tblHeader/>
        </w:trPr>
        <w:tc>
          <w:tcPr>
            <w:tcW w:w="1239" w:type="dxa"/>
            <w:shd w:val="clear" w:color="auto" w:fill="F2F2F2"/>
          </w:tcPr>
          <w:p w:rsidR="003F0D47" w:rsidRDefault="0011139C">
            <w:r>
              <w:t>Tipo</w:t>
            </w:r>
          </w:p>
        </w:tc>
        <w:tc>
          <w:tcPr>
            <w:tcW w:w="3587" w:type="dxa"/>
            <w:shd w:val="clear" w:color="auto" w:fill="F2F2F2"/>
          </w:tcPr>
          <w:p w:rsidR="003F0D47" w:rsidRDefault="0011139C">
            <w:r>
              <w:t>Ponto</w:t>
            </w:r>
          </w:p>
        </w:tc>
        <w:tc>
          <w:tcPr>
            <w:tcW w:w="3382" w:type="dxa"/>
            <w:shd w:val="clear" w:color="auto" w:fill="F2F2F2"/>
          </w:tcPr>
          <w:p w:rsidR="003F0D47" w:rsidRDefault="0011139C">
            <w:r>
              <w:t>Prova disponível</w:t>
            </w:r>
          </w:p>
        </w:tc>
        <w:tc>
          <w:tcPr>
            <w:tcW w:w="1152" w:type="dxa"/>
            <w:shd w:val="clear" w:color="auto" w:fill="F2F2F2"/>
          </w:tcPr>
          <w:p w:rsidR="003F0D47" w:rsidRDefault="0011139C">
            <w:r>
              <w:t>Origem</w:t>
            </w:r>
          </w:p>
        </w:tc>
      </w:tr>
      <w:tr w:rsidR="003F0D47">
        <w:tc>
          <w:tcPr>
            <w:tcW w:w="1239" w:type="dxa"/>
          </w:tcPr>
          <w:p w:rsidR="003F0D47" w:rsidRDefault="0011139C">
            <w:r>
              <w:t>Paridade</w:t>
            </w:r>
          </w:p>
        </w:tc>
        <w:tc>
          <w:tcPr>
            <w:tcW w:w="3587" w:type="dxa"/>
          </w:tcPr>
          <w:p w:rsidR="003F0D47" w:rsidRDefault="0011139C">
            <w:r>
              <w:t>Competência técnica em engenharia de dados, BI e IA</w:t>
            </w:r>
          </w:p>
        </w:tc>
        <w:tc>
          <w:tcPr>
            <w:tcW w:w="3382" w:type="dxa"/>
          </w:tcPr>
          <w:p w:rsidR="003F0D47" w:rsidRDefault="0011139C">
            <w:r>
              <w:t>Mais de 25 anos, mais de 500 clientes e mais de 300 projetos declarados no site</w:t>
            </w:r>
          </w:p>
        </w:tc>
        <w:tc>
          <w:tcPr>
            <w:tcW w:w="1152" w:type="dxa"/>
          </w:tcPr>
          <w:p w:rsidR="003F0D47" w:rsidRDefault="0011139C">
            <w:r>
              <w:t>F1</w:t>
            </w:r>
          </w:p>
        </w:tc>
      </w:tr>
      <w:tr w:rsidR="003F0D47">
        <w:tc>
          <w:tcPr>
            <w:tcW w:w="1239" w:type="dxa"/>
          </w:tcPr>
          <w:p w:rsidR="003F0D47" w:rsidRDefault="0011139C">
            <w:r>
              <w:t>Paridade</w:t>
            </w:r>
          </w:p>
        </w:tc>
        <w:tc>
          <w:tcPr>
            <w:tcW w:w="3587" w:type="dxa"/>
          </w:tcPr>
          <w:p w:rsidR="003F0D47" w:rsidRDefault="0011139C">
            <w:r>
              <w:t>Parcerias com grandes plataformas</w:t>
            </w:r>
          </w:p>
        </w:tc>
        <w:tc>
          <w:tcPr>
            <w:tcW w:w="3382" w:type="dxa"/>
          </w:tcPr>
          <w:p w:rsidR="003F0D47" w:rsidRDefault="0011139C">
            <w:r>
              <w:t>Google Cloud, Databricks, Salesforce/Tableau</w:t>
            </w:r>
          </w:p>
        </w:tc>
        <w:tc>
          <w:tcPr>
            <w:tcW w:w="1152" w:type="dxa"/>
          </w:tcPr>
          <w:p w:rsidR="003F0D47" w:rsidRDefault="0011139C">
            <w:r>
              <w:t>F3</w:t>
            </w:r>
          </w:p>
        </w:tc>
      </w:tr>
      <w:tr w:rsidR="003F0D47">
        <w:tc>
          <w:tcPr>
            <w:tcW w:w="1239" w:type="dxa"/>
          </w:tcPr>
          <w:p w:rsidR="003F0D47" w:rsidRDefault="0011139C">
            <w:r>
              <w:t>Paridade</w:t>
            </w:r>
          </w:p>
        </w:tc>
        <w:tc>
          <w:tcPr>
            <w:tcW w:w="3587" w:type="dxa"/>
          </w:tcPr>
          <w:p w:rsidR="003F0D47" w:rsidRDefault="0011139C">
            <w:r>
              <w:t>Conformidade e segurança de dados</w:t>
            </w:r>
          </w:p>
        </w:tc>
        <w:tc>
          <w:tcPr>
            <w:tcW w:w="3382" w:type="dxa"/>
          </w:tcPr>
          <w:p w:rsidR="003F0D47" w:rsidRDefault="0011139C">
            <w:r>
              <w:t>Unidade de governança; LGPD (Lei 13.709/2018)</w:t>
            </w:r>
          </w:p>
        </w:tc>
        <w:tc>
          <w:tcPr>
            <w:tcW w:w="1152" w:type="dxa"/>
          </w:tcPr>
          <w:p w:rsidR="003F0D47" w:rsidRDefault="0011139C">
            <w:r>
              <w:t>O5</w:t>
            </w:r>
          </w:p>
        </w:tc>
      </w:tr>
      <w:tr w:rsidR="003F0D47">
        <w:tc>
          <w:tcPr>
            <w:tcW w:w="1239" w:type="dxa"/>
          </w:tcPr>
          <w:p w:rsidR="003F0D47" w:rsidRDefault="0011139C">
            <w:r>
              <w:t>Diferença</w:t>
            </w:r>
          </w:p>
        </w:tc>
        <w:tc>
          <w:tcPr>
            <w:tcW w:w="3587" w:type="dxa"/>
          </w:tcPr>
          <w:p w:rsidR="003F0D47" w:rsidRDefault="0011139C">
            <w:r>
              <w:rPr>
                <w:b/>
              </w:rPr>
              <w:t>Valor antes de tecnologia</w:t>
            </w:r>
            <w:r>
              <w:t>: o primeiro passo quantifica o custo de não agir</w:t>
            </w:r>
          </w:p>
        </w:tc>
        <w:tc>
          <w:tcPr>
            <w:tcW w:w="3382" w:type="dxa"/>
          </w:tcPr>
          <w:p w:rsidR="003F0D47" w:rsidRDefault="0011139C">
            <w:r>
              <w:t>Diagnóstico rápido de maturidade (</w:t>
            </w:r>
            <w:proofErr w:type="gramStart"/>
            <w:r>
              <w:t>a</w:t>
            </w:r>
            <w:proofErr w:type="gramEnd"/>
            <w:r>
              <w:t xml:space="preserve"> estruturar)</w:t>
            </w:r>
          </w:p>
        </w:tc>
        <w:tc>
          <w:tcPr>
            <w:tcW w:w="1152" w:type="dxa"/>
          </w:tcPr>
          <w:p w:rsidR="003F0D47" w:rsidRDefault="0011139C">
            <w:r>
              <w:t>W1, DA1</w:t>
            </w:r>
          </w:p>
        </w:tc>
      </w:tr>
      <w:tr w:rsidR="003F0D47">
        <w:tc>
          <w:tcPr>
            <w:tcW w:w="1239" w:type="dxa"/>
          </w:tcPr>
          <w:p w:rsidR="003F0D47" w:rsidRDefault="0011139C">
            <w:r>
              <w:t>Diferença</w:t>
            </w:r>
          </w:p>
        </w:tc>
        <w:tc>
          <w:tcPr>
            <w:tcW w:w="3587" w:type="dxa"/>
          </w:tcPr>
          <w:p w:rsidR="003F0D47" w:rsidRDefault="0011139C">
            <w:r>
              <w:rPr>
                <w:b/>
              </w:rPr>
              <w:t>Caminho gradual</w:t>
            </w:r>
            <w:r>
              <w:t>: conteúdo, treinamento, diagnóstico, piloto, projeto, expansão</w:t>
            </w:r>
          </w:p>
        </w:tc>
        <w:tc>
          <w:tcPr>
            <w:tcW w:w="3382" w:type="dxa"/>
          </w:tcPr>
          <w:p w:rsidR="003F0D47" w:rsidRDefault="0011139C">
            <w:r>
              <w:t>Treinamentos e eventos já usados como porta de entrada</w:t>
            </w:r>
          </w:p>
        </w:tc>
        <w:tc>
          <w:tcPr>
            <w:tcW w:w="1152" w:type="dxa"/>
          </w:tcPr>
          <w:p w:rsidR="003F0D47" w:rsidRDefault="0011139C">
            <w:r>
              <w:t>F5, FO3</w:t>
            </w:r>
          </w:p>
        </w:tc>
      </w:tr>
      <w:tr w:rsidR="003F0D47">
        <w:tc>
          <w:tcPr>
            <w:tcW w:w="1239" w:type="dxa"/>
          </w:tcPr>
          <w:p w:rsidR="003F0D47" w:rsidRDefault="0011139C">
            <w:r>
              <w:t>Diferença</w:t>
            </w:r>
          </w:p>
        </w:tc>
        <w:tc>
          <w:tcPr>
            <w:tcW w:w="3587" w:type="dxa"/>
          </w:tcPr>
          <w:p w:rsidR="003F0D47" w:rsidRDefault="0011139C">
            <w:r>
              <w:rPr>
                <w:b/>
              </w:rPr>
              <w:t>Portfólio integrado</w:t>
            </w:r>
            <w:r>
              <w:t xml:space="preserve"> em uma só parceira, sem coordenar vários fornecedores</w:t>
            </w:r>
          </w:p>
        </w:tc>
        <w:tc>
          <w:tcPr>
            <w:tcW w:w="3382" w:type="dxa"/>
          </w:tcPr>
          <w:p w:rsidR="003F0D47" w:rsidRDefault="0011139C">
            <w:r>
              <w:t>Sete frentes: engenharia, BI, governança, IA, projetos, treinamentos, produtos</w:t>
            </w:r>
          </w:p>
        </w:tc>
        <w:tc>
          <w:tcPr>
            <w:tcW w:w="1152" w:type="dxa"/>
          </w:tcPr>
          <w:p w:rsidR="003F0D47" w:rsidRDefault="0011139C">
            <w:r>
              <w:t>F2</w:t>
            </w:r>
          </w:p>
        </w:tc>
      </w:tr>
      <w:tr w:rsidR="003F0D47">
        <w:tc>
          <w:tcPr>
            <w:tcW w:w="1239" w:type="dxa"/>
          </w:tcPr>
          <w:p w:rsidR="003F0D47" w:rsidRDefault="0011139C">
            <w:r>
              <w:t>Diferença</w:t>
            </w:r>
          </w:p>
        </w:tc>
        <w:tc>
          <w:tcPr>
            <w:tcW w:w="3587" w:type="dxa"/>
          </w:tcPr>
          <w:p w:rsidR="003F0D47" w:rsidRDefault="0011139C">
            <w:r>
              <w:rPr>
                <w:b/>
              </w:rPr>
              <w:t>Proximidade e continuidade</w:t>
            </w:r>
            <w:r>
              <w:t>: conhece o negócio do cliente ao longo de contratos longos</w:t>
            </w:r>
          </w:p>
        </w:tc>
        <w:tc>
          <w:tcPr>
            <w:tcW w:w="3382" w:type="dxa"/>
          </w:tcPr>
          <w:p w:rsidR="003F0D47" w:rsidRDefault="0011139C">
            <w:r>
              <w:t>Contratos de 12, 24 e 36 meses</w:t>
            </w:r>
          </w:p>
        </w:tc>
        <w:tc>
          <w:tcPr>
            <w:tcW w:w="1152" w:type="dxa"/>
          </w:tcPr>
          <w:p w:rsidR="003F0D47" w:rsidRDefault="0011139C">
            <w:r>
              <w:t>F4</w:t>
            </w:r>
          </w:p>
        </w:tc>
      </w:tr>
      <w:tr w:rsidR="003F0D47">
        <w:tc>
          <w:tcPr>
            <w:tcW w:w="1239" w:type="dxa"/>
          </w:tcPr>
          <w:p w:rsidR="003F0D47" w:rsidRDefault="0011139C">
            <w:r>
              <w:t>Diferença</w:t>
            </w:r>
          </w:p>
        </w:tc>
        <w:tc>
          <w:tcPr>
            <w:tcW w:w="3587" w:type="dxa"/>
          </w:tcPr>
          <w:p w:rsidR="003F0D47" w:rsidRDefault="0011139C">
            <w:r>
              <w:rPr>
                <w:b/>
              </w:rPr>
              <w:t>Conhecimento de saúde e de sua regulação</w:t>
            </w:r>
          </w:p>
        </w:tc>
        <w:tc>
          <w:tcPr>
            <w:tcW w:w="3382" w:type="dxa"/>
          </w:tcPr>
          <w:p w:rsidR="003F0D47" w:rsidRDefault="0011139C">
            <w:r>
              <w:t>Saúde é o segmento de maior relevância (entrevista)</w:t>
            </w:r>
          </w:p>
        </w:tc>
        <w:tc>
          <w:tcPr>
            <w:tcW w:w="1152" w:type="dxa"/>
          </w:tcPr>
          <w:p w:rsidR="003F0D47" w:rsidRDefault="0011139C">
            <w:r>
              <w:t>F6</w:t>
            </w:r>
          </w:p>
        </w:tc>
      </w:tr>
    </w:tbl>
    <w:p w:rsidR="003F0D47" w:rsidRDefault="0011139C">
      <w:r>
        <w:t>O diferencial mais fraco hoje é o primeiro: a prova de retorno ainda não existe como material de marketing. Sem cases com números, o posicionamento fica como promessa (FA3).</w:t>
      </w:r>
    </w:p>
    <w:p w:rsidR="003F0D47" w:rsidRDefault="0011139C">
      <w:pPr>
        <w:pStyle w:val="Ttulo3"/>
      </w:pPr>
      <w:r>
        <w:lastRenderedPageBreak/>
        <w:t>2.3 Como o posicionamento responde a cada concorrente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589"/>
        <w:gridCol w:w="1846"/>
        <w:gridCol w:w="3889"/>
        <w:gridCol w:w="2036"/>
      </w:tblGrid>
      <w:tr w:rsidR="003F0D47">
        <w:trPr>
          <w:tblHeader/>
        </w:trPr>
        <w:tc>
          <w:tcPr>
            <w:tcW w:w="1589" w:type="dxa"/>
            <w:shd w:val="clear" w:color="auto" w:fill="F2F2F2"/>
          </w:tcPr>
          <w:p w:rsidR="003F0D47" w:rsidRDefault="0011139C">
            <w:r>
              <w:t>Concorrente</w:t>
            </w:r>
          </w:p>
        </w:tc>
        <w:tc>
          <w:tcPr>
            <w:tcW w:w="1846" w:type="dxa"/>
            <w:shd w:val="clear" w:color="auto" w:fill="F2F2F2"/>
          </w:tcPr>
          <w:p w:rsidR="003F0D47" w:rsidRDefault="0011139C">
            <w:r>
              <w:t>O que o cliente pensa</w:t>
            </w:r>
          </w:p>
        </w:tc>
        <w:tc>
          <w:tcPr>
            <w:tcW w:w="3889" w:type="dxa"/>
            <w:shd w:val="clear" w:color="auto" w:fill="F2F2F2"/>
          </w:tcPr>
          <w:p w:rsidR="003F0D47" w:rsidRDefault="0011139C">
            <w:r>
              <w:t>Mensagem da QSoft</w:t>
            </w:r>
          </w:p>
        </w:tc>
        <w:tc>
          <w:tcPr>
            <w:tcW w:w="2036" w:type="dxa"/>
            <w:shd w:val="clear" w:color="auto" w:fill="F2F2F2"/>
          </w:tcPr>
          <w:p w:rsidR="003F0D47" w:rsidRDefault="0011139C">
            <w:r>
              <w:t>Ação de marketing</w:t>
            </w:r>
          </w:p>
        </w:tc>
      </w:tr>
      <w:tr w:rsidR="003F0D47">
        <w:tc>
          <w:tcPr>
            <w:tcW w:w="1589" w:type="dxa"/>
          </w:tcPr>
          <w:p w:rsidR="003F0D47" w:rsidRDefault="0011139C">
            <w:r>
              <w:t>Fazer internamente ou contratar um profissional</w:t>
            </w:r>
          </w:p>
        </w:tc>
        <w:tc>
          <w:tcPr>
            <w:tcW w:w="1846" w:type="dxa"/>
          </w:tcPr>
          <w:p w:rsidR="003F0D47" w:rsidRDefault="0011139C">
            <w:r>
              <w:t>“A gente resolve com o time que tem”</w:t>
            </w:r>
          </w:p>
        </w:tc>
        <w:tc>
          <w:tcPr>
            <w:tcW w:w="3889" w:type="dxa"/>
          </w:tcPr>
          <w:p w:rsidR="003F0D47" w:rsidRDefault="0011139C">
            <w:r>
              <w:t>Equipe interna com especialistas e experiência de 500 clientes, sem o custo de contratar e treinar</w:t>
            </w:r>
          </w:p>
        </w:tc>
        <w:tc>
          <w:tcPr>
            <w:tcW w:w="2036" w:type="dxa"/>
          </w:tcPr>
          <w:p w:rsidR="003F0D47" w:rsidRDefault="0011139C">
            <w:r>
              <w:t>Comparativo “construir versus contratar” (FA1)</w:t>
            </w:r>
          </w:p>
        </w:tc>
      </w:tr>
      <w:tr w:rsidR="003F0D47">
        <w:tc>
          <w:tcPr>
            <w:tcW w:w="1589" w:type="dxa"/>
          </w:tcPr>
          <w:p w:rsidR="003F0D47" w:rsidRDefault="0011139C">
            <w:r>
              <w:t>Ferramenta pronta de BI ou IA</w:t>
            </w:r>
          </w:p>
        </w:tc>
        <w:tc>
          <w:tcPr>
            <w:tcW w:w="1846" w:type="dxa"/>
          </w:tcPr>
          <w:p w:rsidR="003F0D47" w:rsidRDefault="0011139C">
            <w:r>
              <w:t>“Já pagamos a licença”</w:t>
            </w:r>
          </w:p>
        </w:tc>
        <w:tc>
          <w:tcPr>
            <w:tcW w:w="3889" w:type="dxa"/>
          </w:tcPr>
          <w:p w:rsidR="003F0D47" w:rsidRDefault="0011139C">
            <w:r>
              <w:t>Ferramenta sem processo e governança não gera decisão; 80% das empresas que usam IA recorrem a software pronto, mas integração e dados exigem apoio</w:t>
            </w:r>
          </w:p>
        </w:tc>
        <w:tc>
          <w:tcPr>
            <w:tcW w:w="2036" w:type="dxa"/>
          </w:tcPr>
          <w:p w:rsidR="003F0D47" w:rsidRDefault="0011139C">
            <w:r>
              <w:t>Conteúdo sobre o que a ferramenta não resolve (A5)</w:t>
            </w:r>
          </w:p>
        </w:tc>
      </w:tr>
      <w:tr w:rsidR="003F0D47">
        <w:tc>
          <w:tcPr>
            <w:tcW w:w="1589" w:type="dxa"/>
          </w:tcPr>
          <w:p w:rsidR="003F0D47" w:rsidRDefault="0011139C">
            <w:r>
              <w:t>Não fazer nada</w:t>
            </w:r>
          </w:p>
        </w:tc>
        <w:tc>
          <w:tcPr>
            <w:tcW w:w="1846" w:type="dxa"/>
          </w:tcPr>
          <w:p w:rsidR="003F0D47" w:rsidRDefault="0011139C">
            <w:r>
              <w:t>“Não vejo o retorno”</w:t>
            </w:r>
          </w:p>
        </w:tc>
        <w:tc>
          <w:tcPr>
            <w:tcW w:w="3889" w:type="dxa"/>
          </w:tcPr>
          <w:p w:rsidR="003F0D47" w:rsidRDefault="0011139C">
            <w:r>
              <w:t>O custo de não agir, medido em um diagnóstico curto</w:t>
            </w:r>
          </w:p>
        </w:tc>
        <w:tc>
          <w:tcPr>
            <w:tcW w:w="2036" w:type="dxa"/>
          </w:tcPr>
          <w:p w:rsidR="003F0D47" w:rsidRDefault="0011139C">
            <w:r>
              <w:t>Diagnóstico gratuito e piloto de escopo curto (DA1)</w:t>
            </w:r>
          </w:p>
        </w:tc>
      </w:tr>
      <w:tr w:rsidR="003F0D47">
        <w:tc>
          <w:tcPr>
            <w:tcW w:w="1589" w:type="dxa"/>
          </w:tcPr>
          <w:p w:rsidR="003F0D47" w:rsidRDefault="0011139C">
            <w:r>
              <w:t>Grandes consultorias</w:t>
            </w:r>
          </w:p>
        </w:tc>
        <w:tc>
          <w:tcPr>
            <w:tcW w:w="1846" w:type="dxa"/>
          </w:tcPr>
          <w:p w:rsidR="003F0D47" w:rsidRDefault="0011139C">
            <w:r>
              <w:t>“Marca segura, mas cara e distante”</w:t>
            </w:r>
          </w:p>
        </w:tc>
        <w:tc>
          <w:tcPr>
            <w:tcW w:w="3889" w:type="dxa"/>
          </w:tcPr>
          <w:p w:rsidR="003F0D47" w:rsidRDefault="0011139C">
            <w:r>
              <w:t>Mesma qualidade técnica com proximidade, agilidade e foco</w:t>
            </w:r>
          </w:p>
        </w:tc>
        <w:tc>
          <w:tcPr>
            <w:tcW w:w="2036" w:type="dxa"/>
          </w:tcPr>
          <w:p w:rsidR="003F0D47" w:rsidRDefault="0011139C">
            <w:r>
              <w:t>Autoridade em nichos (DA2)</w:t>
            </w:r>
          </w:p>
        </w:tc>
      </w:tr>
      <w:tr w:rsidR="003F0D47">
        <w:tc>
          <w:tcPr>
            <w:tcW w:w="1589" w:type="dxa"/>
          </w:tcPr>
          <w:p w:rsidR="003F0D47" w:rsidRDefault="0011139C">
            <w:r>
              <w:t>Boutiques por ferramenta</w:t>
            </w:r>
          </w:p>
        </w:tc>
        <w:tc>
          <w:tcPr>
            <w:tcW w:w="1846" w:type="dxa"/>
          </w:tcPr>
          <w:p w:rsidR="003F0D47" w:rsidRDefault="0011139C">
            <w:r>
              <w:t>“Especialista barato em uma tecnologia”</w:t>
            </w:r>
          </w:p>
        </w:tc>
        <w:tc>
          <w:tcPr>
            <w:tcW w:w="3889" w:type="dxa"/>
          </w:tcPr>
          <w:p w:rsidR="003F0D47" w:rsidRDefault="0011139C">
            <w:r>
              <w:t>Visão ponta a ponta, da coleta do dado ao uso da IA</w:t>
            </w:r>
          </w:p>
        </w:tc>
        <w:tc>
          <w:tcPr>
            <w:tcW w:w="2036" w:type="dxa"/>
          </w:tcPr>
          <w:p w:rsidR="003F0D47" w:rsidRDefault="0011139C">
            <w:r>
              <w:t>Cases integrados</w:t>
            </w:r>
          </w:p>
        </w:tc>
      </w:tr>
      <w:tr w:rsidR="003F0D47">
        <w:tc>
          <w:tcPr>
            <w:tcW w:w="1589" w:type="dxa"/>
          </w:tcPr>
          <w:p w:rsidR="003F0D47" w:rsidRDefault="0011139C">
            <w:r>
              <w:t>Parceiros de plataforma</w:t>
            </w:r>
          </w:p>
        </w:tc>
        <w:tc>
          <w:tcPr>
            <w:tcW w:w="1846" w:type="dxa"/>
          </w:tcPr>
          <w:p w:rsidR="003F0D47" w:rsidRDefault="0011139C">
            <w:r>
              <w:t>“O próprio fornecedor presta o serviço”</w:t>
            </w:r>
          </w:p>
        </w:tc>
        <w:tc>
          <w:tcPr>
            <w:tcW w:w="3889" w:type="dxa"/>
          </w:tcPr>
          <w:p w:rsidR="003F0D47" w:rsidRDefault="0011139C">
            <w:r>
              <w:t>Independência para escolher a melhor tecnologia para o caso</w:t>
            </w:r>
          </w:p>
        </w:tc>
        <w:tc>
          <w:tcPr>
            <w:tcW w:w="2036" w:type="dxa"/>
          </w:tcPr>
          <w:p w:rsidR="003F0D47" w:rsidRDefault="0011139C">
            <w:r>
              <w:t>Coexistência com parceiros (FA2)</w:t>
            </w:r>
          </w:p>
        </w:tc>
      </w:tr>
    </w:tbl>
    <w:p w:rsidR="003F0D47" w:rsidRDefault="0011139C">
      <w:r>
        <w:t xml:space="preserve">Dado de apoio: segundo o Cetic.br (TIC Empresas 2025, via </w:t>
      </w:r>
      <w:hyperlink r:id="rId5" w:history="1">
        <w:r>
          <w:rPr>
            <w:rStyle w:val="Hyperlink"/>
          </w:rPr>
          <w:t>TI Inside</w:t>
        </w:r>
      </w:hyperlink>
      <w:r>
        <w:t>), 80% das empresas que usam IA obtêm a tecnologia em software pronto e 54% contratam fornecedores externos para desenvolver ou adaptar sistemas. O segundo número mostra que contratar serviço externo é prática comum entre quem já adotou IA.</w:t>
      </w:r>
    </w:p>
    <w:p w:rsidR="003F0D47" w:rsidRDefault="0011139C">
      <w:pPr>
        <w:pStyle w:val="Ttulo3"/>
      </w:pPr>
      <w:r>
        <w:lastRenderedPageBreak/>
        <w:t>2.4 Mapa perceptual</w:t>
      </w:r>
    </w:p>
    <w:p w:rsidR="003F0D47" w:rsidRDefault="0011139C">
      <w:r>
        <w:rPr>
          <w:noProof/>
        </w:rPr>
        <w:drawing>
          <wp:inline distT="0" distB="0" distL="0" distR="0">
            <wp:extent cx="5486400" cy="2971800"/>
            <wp:effectExtent l="0" t="0" r="0" b="0"/>
            <wp:docPr id="1" name="image1" descr="mapa perceptual · 2 eixos, 4 grupos de concorrent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apa perceptual · 2 eixos, 4 grupos de concorrente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D47" w:rsidRPr="0011139C" w:rsidRDefault="0011139C">
      <w:pPr>
        <w:rPr>
          <w:b/>
        </w:rPr>
      </w:pPr>
      <w:r>
        <w:rPr>
          <w:b/>
        </w:rPr>
        <w:t>M</w:t>
      </w:r>
      <w:r w:rsidRPr="0011139C">
        <w:rPr>
          <w:b/>
        </w:rPr>
        <w:t>apa perceptual · 2 eixos, 4 grupos de concorrentes</w:t>
      </w:r>
    </w:p>
    <w:p w:rsidR="003F0D47" w:rsidRDefault="0011139C">
      <w:r>
        <w:t>Hoje a QSoft tende a ser percebida pela tecnologia (W1); o reposicionamento a leva para o canto de mensagem de resultado e proximidade, que as grandes consultorias ocupam com escala, mas sem a mesma proximidade. As posições são hipóteses do grupo e dependem de pesquisa com clientes.</w:t>
      </w:r>
    </w:p>
    <w:p w:rsidR="0011139C" w:rsidRDefault="0011139C">
      <w:pPr>
        <w:pStyle w:val="Ttulo2"/>
      </w:pPr>
    </w:p>
    <w:p w:rsidR="0011139C" w:rsidRDefault="0011139C">
      <w:pPr>
        <w:pStyle w:val="Ttulo2"/>
      </w:pPr>
    </w:p>
    <w:p w:rsidR="0011139C" w:rsidRDefault="0011139C">
      <w:pPr>
        <w:pStyle w:val="Ttulo2"/>
      </w:pPr>
    </w:p>
    <w:p w:rsidR="003F0D47" w:rsidRDefault="0011139C">
      <w:pPr>
        <w:pStyle w:val="Ttulo2"/>
      </w:pPr>
      <w:r>
        <w:t>3. Proposta de valor</w:t>
      </w:r>
    </w:p>
    <w:p w:rsidR="0011139C" w:rsidRDefault="0011139C" w:rsidP="0011139C">
      <w:r>
        <w:t xml:space="preserve">A proposta de valor da QSoft é </w:t>
      </w:r>
      <w:r>
        <w:rPr>
          <w:b/>
        </w:rPr>
        <w:t>reduzir o risco de investir em dados e IA</w:t>
      </w:r>
      <w:r>
        <w:t xml:space="preserve">: cada etapa (diagnóstico, treinamento, piloto, projeto) prova seu retorno antes de a próxima ser contratada. Ela responde diretamente à fraqueza central do diagnóstico, a dificuldade de comunicar valor (W1). </w:t>
      </w:r>
      <w:proofErr w:type="gramStart"/>
      <w:r>
        <w:t>A</w:t>
      </w:r>
      <w:proofErr w:type="gramEnd"/>
      <w:r>
        <w:t xml:space="preserve"> análise segue o Value Proposition Canvas de Osterwalder et al. (2014), aplicado ao segmento prioritário S1 (saúde, maturidade intermediária).</w:t>
      </w:r>
    </w:p>
    <w:p w:rsidR="0011139C" w:rsidRDefault="0011139C" w:rsidP="0011139C"/>
    <w:p w:rsidR="0011139C" w:rsidRDefault="0011139C" w:rsidP="0011139C"/>
    <w:p w:rsidR="0011139C" w:rsidRDefault="0011139C" w:rsidP="0011139C"/>
    <w:p w:rsidR="003F0D47" w:rsidRDefault="0011139C">
      <w:pPr>
        <w:pStyle w:val="Ttulo3"/>
      </w:pPr>
      <w:r>
        <w:lastRenderedPageBreak/>
        <w:t>3.1 Perfil do cliente (S1)</w:t>
      </w:r>
    </w:p>
    <w:p w:rsidR="003F0D47" w:rsidRDefault="0011139C">
      <w:r>
        <w:t>Os itens vêm da entrevista, do diagnóstico e do Cetic.br; os marcados como hipótese precisam de confirmação com clientes.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136"/>
        <w:gridCol w:w="4920"/>
        <w:gridCol w:w="2304"/>
      </w:tblGrid>
      <w:tr w:rsidR="003F0D47">
        <w:trPr>
          <w:tblHeader/>
        </w:trPr>
        <w:tc>
          <w:tcPr>
            <w:tcW w:w="2136" w:type="dxa"/>
            <w:shd w:val="clear" w:color="auto" w:fill="F2F2F2"/>
          </w:tcPr>
          <w:p w:rsidR="003F0D47" w:rsidRDefault="0011139C">
            <w:r>
              <w:t>Dimensão</w:t>
            </w:r>
          </w:p>
        </w:tc>
        <w:tc>
          <w:tcPr>
            <w:tcW w:w="4920" w:type="dxa"/>
            <w:shd w:val="clear" w:color="auto" w:fill="F2F2F2"/>
          </w:tcPr>
          <w:p w:rsidR="003F0D47" w:rsidRDefault="0011139C">
            <w:r>
              <w:t>Descrição</w:t>
            </w:r>
          </w:p>
        </w:tc>
        <w:tc>
          <w:tcPr>
            <w:tcW w:w="2304" w:type="dxa"/>
            <w:shd w:val="clear" w:color="auto" w:fill="F2F2F2"/>
          </w:tcPr>
          <w:p w:rsidR="003F0D47" w:rsidRDefault="0011139C">
            <w:r>
              <w:t>Origem</w:t>
            </w:r>
          </w:p>
        </w:tc>
      </w:tr>
      <w:tr w:rsidR="003F0D47">
        <w:tc>
          <w:tcPr>
            <w:tcW w:w="2136" w:type="dxa"/>
          </w:tcPr>
          <w:p w:rsidR="003F0D47" w:rsidRDefault="0011139C">
            <w:r>
              <w:t>Tarefas do cliente</w:t>
            </w:r>
          </w:p>
        </w:tc>
        <w:tc>
          <w:tcPr>
            <w:tcW w:w="4920" w:type="dxa"/>
          </w:tcPr>
          <w:p w:rsidR="003F0D47" w:rsidRDefault="0011139C">
            <w:r>
              <w:t xml:space="preserve">Tomar decisões clínicas e de gestão com base em dados; cumprir a LGPD, que trata dado de saúde como sensível; reduzir custos e desperdícios; justificar investimento de tecnologia perante a diretoria; começar a usar IA sem expor </w:t>
            </w:r>
            <w:proofErr w:type="gramStart"/>
            <w:r>
              <w:t>a</w:t>
            </w:r>
            <w:proofErr w:type="gramEnd"/>
            <w:r>
              <w:t xml:space="preserve"> operação</w:t>
            </w:r>
          </w:p>
        </w:tc>
        <w:tc>
          <w:tcPr>
            <w:tcW w:w="2304" w:type="dxa"/>
          </w:tcPr>
          <w:p w:rsidR="003F0D47" w:rsidRDefault="0011139C">
            <w:r>
              <w:t>Hipótese do grupo; LGPD (arts. 5º e 11); O5</w:t>
            </w:r>
          </w:p>
        </w:tc>
      </w:tr>
      <w:tr w:rsidR="003F0D47">
        <w:tc>
          <w:tcPr>
            <w:tcW w:w="2136" w:type="dxa"/>
          </w:tcPr>
          <w:p w:rsidR="003F0D47" w:rsidRDefault="0011139C">
            <w:r>
              <w:t>Dores</w:t>
            </w:r>
          </w:p>
        </w:tc>
        <w:tc>
          <w:tcPr>
            <w:tcW w:w="4920" w:type="dxa"/>
          </w:tcPr>
          <w:p w:rsidR="003F0D47" w:rsidRDefault="0011139C">
            <w:r>
              <w:t>Não enxerga o valor de contratar; orçamento restrito; decisão lenta, com muitos envolvidos; dados espalhados em sistemas que não conversam; falta de profissionais e de qualidade dos dados; medo de gastar sem resultado</w:t>
            </w:r>
          </w:p>
        </w:tc>
        <w:tc>
          <w:tcPr>
            <w:tcW w:w="2304" w:type="dxa"/>
          </w:tcPr>
          <w:p w:rsidR="003F0D47" w:rsidRDefault="0011139C">
            <w:r>
              <w:t>Entrevista (W1, W2); A4, A6; TIC Empresas 2025</w:t>
            </w:r>
          </w:p>
        </w:tc>
      </w:tr>
      <w:tr w:rsidR="003F0D47">
        <w:tc>
          <w:tcPr>
            <w:tcW w:w="2136" w:type="dxa"/>
          </w:tcPr>
          <w:p w:rsidR="003F0D47" w:rsidRDefault="0011139C">
            <w:r>
              <w:t>Ganhos desejados</w:t>
            </w:r>
          </w:p>
        </w:tc>
        <w:tc>
          <w:tcPr>
            <w:tcW w:w="4920" w:type="dxa"/>
          </w:tcPr>
          <w:p w:rsidR="003F0D47" w:rsidRDefault="0011139C">
            <w:r>
              <w:t>Decisão mais rápida e baseada em número; resultado mensurável em poucos meses; equipe interna mais capaz; segurança jurídica; base para crescer sem recomeçar</w:t>
            </w:r>
          </w:p>
        </w:tc>
        <w:tc>
          <w:tcPr>
            <w:tcW w:w="2304" w:type="dxa"/>
          </w:tcPr>
          <w:p w:rsidR="003F0D47" w:rsidRDefault="0011139C">
            <w:r>
              <w:t>Hipótese do grupo; F4</w:t>
            </w:r>
          </w:p>
        </w:tc>
      </w:tr>
    </w:tbl>
    <w:p w:rsidR="0011139C" w:rsidRDefault="0011139C">
      <w:pPr>
        <w:pStyle w:val="Ttulo3"/>
      </w:pPr>
    </w:p>
    <w:p w:rsidR="0011139C" w:rsidRDefault="0011139C">
      <w:pPr>
        <w:pStyle w:val="Ttulo3"/>
      </w:pPr>
    </w:p>
    <w:p w:rsidR="003F0D47" w:rsidRDefault="0011139C">
      <w:pPr>
        <w:pStyle w:val="Ttulo3"/>
      </w:pPr>
      <w:r>
        <w:t>3.2 Mapa de valor da QSoft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308"/>
        <w:gridCol w:w="4015"/>
        <w:gridCol w:w="3037"/>
      </w:tblGrid>
      <w:tr w:rsidR="003F0D47">
        <w:trPr>
          <w:tblHeader/>
        </w:trPr>
        <w:tc>
          <w:tcPr>
            <w:tcW w:w="2308" w:type="dxa"/>
            <w:shd w:val="clear" w:color="auto" w:fill="F2F2F2"/>
          </w:tcPr>
          <w:p w:rsidR="003F0D47" w:rsidRDefault="0011139C">
            <w:r>
              <w:t>Pergunta</w:t>
            </w:r>
          </w:p>
        </w:tc>
        <w:tc>
          <w:tcPr>
            <w:tcW w:w="4015" w:type="dxa"/>
            <w:shd w:val="clear" w:color="auto" w:fill="F2F2F2"/>
          </w:tcPr>
          <w:p w:rsidR="003F0D47" w:rsidRDefault="0011139C">
            <w:r>
              <w:t>Resposta</w:t>
            </w:r>
          </w:p>
        </w:tc>
        <w:tc>
          <w:tcPr>
            <w:tcW w:w="3037" w:type="dxa"/>
            <w:shd w:val="clear" w:color="auto" w:fill="F2F2F2"/>
          </w:tcPr>
          <w:p w:rsidR="003F0D47" w:rsidRDefault="0011139C">
            <w:r>
              <w:t>Origem</w:t>
            </w:r>
          </w:p>
        </w:tc>
      </w:tr>
      <w:tr w:rsidR="003F0D47">
        <w:tc>
          <w:tcPr>
            <w:tcW w:w="2308" w:type="dxa"/>
          </w:tcPr>
          <w:p w:rsidR="003F0D47" w:rsidRDefault="0011139C">
            <w:r>
              <w:t>Produtos e serviços</w:t>
            </w:r>
          </w:p>
        </w:tc>
        <w:tc>
          <w:tcPr>
            <w:tcW w:w="4015" w:type="dxa"/>
          </w:tcPr>
          <w:p w:rsidR="003F0D47" w:rsidRDefault="0011139C">
            <w:r>
              <w:t>Diagnóstico de maturidade; treinamentos; BI e analytics; engenharia de dados; governança; IA aplicada; projetos customizados; produtos de dados</w:t>
            </w:r>
          </w:p>
        </w:tc>
        <w:tc>
          <w:tcPr>
            <w:tcW w:w="3037" w:type="dxa"/>
          </w:tcPr>
          <w:p w:rsidR="003F0D47" w:rsidRDefault="0011139C">
            <w:r>
              <w:t>F2, F5</w:t>
            </w:r>
          </w:p>
        </w:tc>
      </w:tr>
      <w:tr w:rsidR="003F0D47">
        <w:tc>
          <w:tcPr>
            <w:tcW w:w="2308" w:type="dxa"/>
          </w:tcPr>
          <w:p w:rsidR="003F0D47" w:rsidRDefault="0011139C">
            <w:r>
              <w:t>Aliviadores de dor</w:t>
            </w:r>
          </w:p>
        </w:tc>
        <w:tc>
          <w:tcPr>
            <w:tcW w:w="4015" w:type="dxa"/>
          </w:tcPr>
          <w:p w:rsidR="003F0D47" w:rsidRDefault="0011139C">
            <w:r>
              <w:t>Diagnóstico curto que quantifica o custo de não agir; piloto de escopo curto com preço gradual; treinamento que capacita o time interno; governança embutida desde o início; um único parceiro para várias frentes; linguagem de negócio, não de tecnologia</w:t>
            </w:r>
          </w:p>
        </w:tc>
        <w:tc>
          <w:tcPr>
            <w:tcW w:w="3037" w:type="dxa"/>
          </w:tcPr>
          <w:p w:rsidR="003F0D47" w:rsidRDefault="0011139C">
            <w:r>
              <w:t>DA1, FA2, FA3, DO1, FO3</w:t>
            </w:r>
          </w:p>
        </w:tc>
      </w:tr>
      <w:tr w:rsidR="003F0D47">
        <w:tc>
          <w:tcPr>
            <w:tcW w:w="2308" w:type="dxa"/>
          </w:tcPr>
          <w:p w:rsidR="003F0D47" w:rsidRDefault="0011139C">
            <w:r>
              <w:t>Criadores de ganho</w:t>
            </w:r>
          </w:p>
        </w:tc>
        <w:tc>
          <w:tcPr>
            <w:tcW w:w="4015" w:type="dxa"/>
          </w:tcPr>
          <w:p w:rsidR="003F0D47" w:rsidRDefault="0011139C">
            <w:r>
              <w:t xml:space="preserve">Cases setoriais com ROI; evolução planejada em contratos de 12 a 36 meses; </w:t>
            </w:r>
            <w:r>
              <w:lastRenderedPageBreak/>
              <w:t>indicadores acompanhados por conta; acesso a plataformas líderes via parcerias</w:t>
            </w:r>
          </w:p>
        </w:tc>
        <w:tc>
          <w:tcPr>
            <w:tcW w:w="3037" w:type="dxa"/>
          </w:tcPr>
          <w:p w:rsidR="003F0D47" w:rsidRDefault="0011139C">
            <w:r>
              <w:lastRenderedPageBreak/>
              <w:t>FO1, DA3, F3, F4</w:t>
            </w:r>
          </w:p>
        </w:tc>
      </w:tr>
    </w:tbl>
    <w:p w:rsidR="0011139C" w:rsidRDefault="0011139C">
      <w:pPr>
        <w:pStyle w:val="Ttulo3"/>
      </w:pPr>
    </w:p>
    <w:p w:rsidR="0011139C" w:rsidRDefault="0011139C">
      <w:pPr>
        <w:pStyle w:val="Ttulo3"/>
      </w:pPr>
    </w:p>
    <w:p w:rsidR="0011139C" w:rsidRDefault="0011139C">
      <w:pPr>
        <w:pStyle w:val="Ttulo3"/>
      </w:pPr>
    </w:p>
    <w:p w:rsidR="0011139C" w:rsidRDefault="0011139C">
      <w:pPr>
        <w:pStyle w:val="Ttulo3"/>
      </w:pPr>
    </w:p>
    <w:p w:rsidR="0011139C" w:rsidRDefault="0011139C">
      <w:pPr>
        <w:pStyle w:val="Ttulo3"/>
      </w:pPr>
    </w:p>
    <w:p w:rsidR="0011139C" w:rsidRDefault="0011139C">
      <w:pPr>
        <w:pStyle w:val="Ttulo3"/>
      </w:pPr>
    </w:p>
    <w:p w:rsidR="003F0D47" w:rsidRDefault="0011139C">
      <w:pPr>
        <w:pStyle w:val="Ttulo3"/>
      </w:pPr>
      <w:r>
        <w:t>3.3 Encaixe entre dor e solução</w:t>
      </w:r>
    </w:p>
    <w:p w:rsidR="003F0D47" w:rsidRDefault="0011139C">
      <w:r>
        <w:t>Cada dor principal tem uma resposta concreta e um indicador que o marketing e as vendas podem acompanhar. Os indicadores são propostos; a linha de base precisa vir da QSoft.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858"/>
        <w:gridCol w:w="4079"/>
        <w:gridCol w:w="2423"/>
      </w:tblGrid>
      <w:tr w:rsidR="003F0D47">
        <w:trPr>
          <w:tblHeader/>
        </w:trPr>
        <w:tc>
          <w:tcPr>
            <w:tcW w:w="2858" w:type="dxa"/>
            <w:shd w:val="clear" w:color="auto" w:fill="F2F2F2"/>
          </w:tcPr>
          <w:p w:rsidR="003F0D47" w:rsidRDefault="0011139C">
            <w:r>
              <w:t>Dor do cliente</w:t>
            </w:r>
          </w:p>
        </w:tc>
        <w:tc>
          <w:tcPr>
            <w:tcW w:w="4079" w:type="dxa"/>
            <w:shd w:val="clear" w:color="auto" w:fill="F2F2F2"/>
          </w:tcPr>
          <w:p w:rsidR="003F0D47" w:rsidRDefault="0011139C">
            <w:r>
              <w:t>Resposta da QSoft</w:t>
            </w:r>
          </w:p>
        </w:tc>
        <w:tc>
          <w:tcPr>
            <w:tcW w:w="2423" w:type="dxa"/>
            <w:shd w:val="clear" w:color="auto" w:fill="F2F2F2"/>
          </w:tcPr>
          <w:p w:rsidR="003F0D47" w:rsidRDefault="0011139C">
            <w:r>
              <w:t>Indicador sugerido</w:t>
            </w:r>
          </w:p>
        </w:tc>
      </w:tr>
      <w:tr w:rsidR="003F0D47">
        <w:tc>
          <w:tcPr>
            <w:tcW w:w="2858" w:type="dxa"/>
          </w:tcPr>
          <w:p w:rsidR="003F0D47" w:rsidRDefault="0011139C">
            <w:r>
              <w:t>“Não vejo o retorno”</w:t>
            </w:r>
          </w:p>
        </w:tc>
        <w:tc>
          <w:tcPr>
            <w:tcW w:w="4079" w:type="dxa"/>
          </w:tcPr>
          <w:p w:rsidR="003F0D47" w:rsidRDefault="0011139C">
            <w:r>
              <w:t>Diagnóstico que estima o custo de não agir e o ganho possível</w:t>
            </w:r>
          </w:p>
        </w:tc>
        <w:tc>
          <w:tcPr>
            <w:tcW w:w="2423" w:type="dxa"/>
          </w:tcPr>
          <w:p w:rsidR="003F0D47" w:rsidRDefault="0011139C">
            <w:r>
              <w:t>Diagnósticos realizados e convertidos em piloto</w:t>
            </w:r>
          </w:p>
        </w:tc>
      </w:tr>
      <w:tr w:rsidR="003F0D47">
        <w:tc>
          <w:tcPr>
            <w:tcW w:w="2858" w:type="dxa"/>
          </w:tcPr>
          <w:p w:rsidR="003F0D47" w:rsidRDefault="0011139C">
            <w:r>
              <w:t>“Está caro e arriscado”</w:t>
            </w:r>
          </w:p>
        </w:tc>
        <w:tc>
          <w:tcPr>
            <w:tcW w:w="4079" w:type="dxa"/>
          </w:tcPr>
          <w:p w:rsidR="003F0D47" w:rsidRDefault="0011139C">
            <w:r>
              <w:t>Piloto de escopo curto, com critério de sucesso combinado antes</w:t>
            </w:r>
          </w:p>
        </w:tc>
        <w:tc>
          <w:tcPr>
            <w:tcW w:w="2423" w:type="dxa"/>
          </w:tcPr>
          <w:p w:rsidR="003F0D47" w:rsidRDefault="0011139C">
            <w:r>
              <w:t>Pilotos que viram projeto</w:t>
            </w:r>
          </w:p>
        </w:tc>
      </w:tr>
      <w:tr w:rsidR="003F0D47">
        <w:tc>
          <w:tcPr>
            <w:tcW w:w="2858" w:type="dxa"/>
          </w:tcPr>
          <w:p w:rsidR="003F0D47" w:rsidRDefault="0011139C">
            <w:r>
              <w:t>“Não temos gente”</w:t>
            </w:r>
          </w:p>
        </w:tc>
        <w:tc>
          <w:tcPr>
            <w:tcW w:w="4079" w:type="dxa"/>
          </w:tcPr>
          <w:p w:rsidR="003F0D47" w:rsidRDefault="0011139C">
            <w:r>
              <w:t>Treinamento da equipe e entrega com transferência de conhecimento</w:t>
            </w:r>
          </w:p>
        </w:tc>
        <w:tc>
          <w:tcPr>
            <w:tcW w:w="2423" w:type="dxa"/>
          </w:tcPr>
          <w:p w:rsidR="003F0D47" w:rsidRDefault="0011139C">
            <w:r>
              <w:t>Pessoas treinadas por cliente</w:t>
            </w:r>
          </w:p>
        </w:tc>
      </w:tr>
      <w:tr w:rsidR="003F0D47">
        <w:tc>
          <w:tcPr>
            <w:tcW w:w="2858" w:type="dxa"/>
          </w:tcPr>
          <w:p w:rsidR="003F0D47" w:rsidRDefault="0011139C">
            <w:r>
              <w:t>“Temos medo da LGPD”</w:t>
            </w:r>
          </w:p>
        </w:tc>
        <w:tc>
          <w:tcPr>
            <w:tcW w:w="4079" w:type="dxa"/>
          </w:tcPr>
          <w:p w:rsidR="003F0D47" w:rsidRDefault="0011139C">
            <w:r>
              <w:t>Governança de dados como parte de todo projeto</w:t>
            </w:r>
          </w:p>
        </w:tc>
        <w:tc>
          <w:tcPr>
            <w:tcW w:w="2423" w:type="dxa"/>
          </w:tcPr>
          <w:p w:rsidR="003F0D47" w:rsidRDefault="0011139C">
            <w:r>
              <w:t>Projetos com governança incluída</w:t>
            </w:r>
          </w:p>
        </w:tc>
      </w:tr>
      <w:tr w:rsidR="003F0D47">
        <w:tc>
          <w:tcPr>
            <w:tcW w:w="2858" w:type="dxa"/>
          </w:tcPr>
          <w:p w:rsidR="003F0D47" w:rsidRDefault="0011139C">
            <w:r>
              <w:t>“A decisão demora”</w:t>
            </w:r>
          </w:p>
        </w:tc>
        <w:tc>
          <w:tcPr>
            <w:tcW w:w="4079" w:type="dxa"/>
          </w:tcPr>
          <w:p w:rsidR="003F0D47" w:rsidRDefault="0011139C">
            <w:r>
              <w:t>Conteúdo por etapa e material para o comitê de compra</w:t>
            </w:r>
          </w:p>
        </w:tc>
        <w:tc>
          <w:tcPr>
            <w:tcW w:w="2423" w:type="dxa"/>
          </w:tcPr>
          <w:p w:rsidR="003F0D47" w:rsidRDefault="0011139C">
            <w:r>
              <w:t>Duração do ciclo de venda</w:t>
            </w:r>
          </w:p>
        </w:tc>
      </w:tr>
    </w:tbl>
    <w:p w:rsidR="003F0D47" w:rsidRDefault="0011139C">
      <w:pPr>
        <w:pStyle w:val="Ttulo3"/>
      </w:pPr>
      <w:r>
        <w:t>3.4 Enunciado</w:t>
      </w:r>
    </w:p>
    <w:p w:rsidR="003F0D47" w:rsidRDefault="0011139C">
      <w:pPr>
        <w:pStyle w:val="Citao"/>
      </w:pPr>
      <w:r>
        <w:t>Ajudamos empresas de saúde que já têm dados, mas não decidem com eles, a transformar informação dispersa em decisões mensuráveis, por meio de um caminho gradual de diagnóstico, treinamento, piloto e projeto, em que cada etapa comprova seu retorno antes da próxima.</w:t>
      </w:r>
    </w:p>
    <w:p w:rsidR="003F0D47" w:rsidRDefault="0011139C">
      <w:r>
        <w:t>A mesma estrutura serve aos outros segmentos, trocando o setor e a dor dominante: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848"/>
        <w:gridCol w:w="2096"/>
        <w:gridCol w:w="4415"/>
      </w:tblGrid>
      <w:tr w:rsidR="003F0D47">
        <w:trPr>
          <w:tblHeader/>
        </w:trPr>
        <w:tc>
          <w:tcPr>
            <w:tcW w:w="2848" w:type="dxa"/>
            <w:shd w:val="clear" w:color="auto" w:fill="F2F2F2"/>
          </w:tcPr>
          <w:p w:rsidR="003F0D47" w:rsidRDefault="0011139C">
            <w:r>
              <w:lastRenderedPageBreak/>
              <w:t>Segmento</w:t>
            </w:r>
          </w:p>
        </w:tc>
        <w:tc>
          <w:tcPr>
            <w:tcW w:w="2096" w:type="dxa"/>
            <w:shd w:val="clear" w:color="auto" w:fill="F2F2F2"/>
          </w:tcPr>
          <w:p w:rsidR="003F0D47" w:rsidRDefault="0011139C">
            <w:r>
              <w:t>Dor dominante</w:t>
            </w:r>
          </w:p>
        </w:tc>
        <w:tc>
          <w:tcPr>
            <w:tcW w:w="4415" w:type="dxa"/>
            <w:shd w:val="clear" w:color="auto" w:fill="F2F2F2"/>
          </w:tcPr>
          <w:p w:rsidR="003F0D47" w:rsidRDefault="0011139C">
            <w:r>
              <w:t>Ajuste do enunciado</w:t>
            </w:r>
          </w:p>
        </w:tc>
      </w:tr>
      <w:tr w:rsidR="003F0D47">
        <w:tc>
          <w:tcPr>
            <w:tcW w:w="2848" w:type="dxa"/>
          </w:tcPr>
          <w:p w:rsidR="003F0D47" w:rsidRDefault="0011139C">
            <w:r>
              <w:t>S2. Financeiro e seguros</w:t>
            </w:r>
          </w:p>
        </w:tc>
        <w:tc>
          <w:tcPr>
            <w:tcW w:w="2096" w:type="dxa"/>
          </w:tcPr>
          <w:p w:rsidR="003F0D47" w:rsidRDefault="0011139C">
            <w:r>
              <w:t>Regulação e análise de risco e de cliente</w:t>
            </w:r>
          </w:p>
        </w:tc>
        <w:tc>
          <w:tcPr>
            <w:tcW w:w="4415" w:type="dxa"/>
          </w:tcPr>
          <w:p w:rsidR="003F0D47" w:rsidRDefault="0011139C">
            <w:r>
              <w:t>“…decisões de risco e de cliente mensuráveis, com governança desde o primeiro passo…”</w:t>
            </w:r>
          </w:p>
        </w:tc>
      </w:tr>
      <w:tr w:rsidR="003F0D47">
        <w:tc>
          <w:tcPr>
            <w:tcW w:w="2848" w:type="dxa"/>
          </w:tcPr>
          <w:p w:rsidR="003F0D47" w:rsidRDefault="0011139C">
            <w:r>
              <w:t>S3. Indústria</w:t>
            </w:r>
          </w:p>
        </w:tc>
        <w:tc>
          <w:tcPr>
            <w:tcW w:w="2096" w:type="dxa"/>
          </w:tcPr>
          <w:p w:rsidR="003F0D47" w:rsidRDefault="0011139C">
            <w:r>
              <w:t>Dados de operação sem integração</w:t>
            </w:r>
          </w:p>
        </w:tc>
        <w:tc>
          <w:tcPr>
            <w:tcW w:w="4415" w:type="dxa"/>
          </w:tcPr>
          <w:p w:rsidR="003F0D47" w:rsidRDefault="0011139C">
            <w:r>
              <w:t>“…integrar dados de operação em decisões de eficiência mensuráveis…”</w:t>
            </w:r>
          </w:p>
        </w:tc>
      </w:tr>
      <w:tr w:rsidR="003F0D47">
        <w:tc>
          <w:tcPr>
            <w:tcW w:w="2848" w:type="dxa"/>
          </w:tcPr>
          <w:p w:rsidR="003F0D47" w:rsidRDefault="0011139C">
            <w:r>
              <w:t>S4. Baixa maturidade</w:t>
            </w:r>
          </w:p>
        </w:tc>
        <w:tc>
          <w:tcPr>
            <w:tcW w:w="2096" w:type="dxa"/>
          </w:tcPr>
          <w:p w:rsidR="003F0D47" w:rsidRDefault="0011139C">
            <w:r>
              <w:t>Não sabe por onde começar</w:t>
            </w:r>
          </w:p>
        </w:tc>
        <w:tc>
          <w:tcPr>
            <w:tcW w:w="4415" w:type="dxa"/>
          </w:tcPr>
          <w:p w:rsidR="003F0D47" w:rsidRDefault="0011139C">
            <w:r>
              <w:t>“…descobrir onde dados e IA geram valor, com um primeiro passo de baixo risco…”</w:t>
            </w:r>
          </w:p>
        </w:tc>
      </w:tr>
    </w:tbl>
    <w:p w:rsidR="003F0D47" w:rsidRDefault="0011139C">
      <w:pPr>
        <w:pStyle w:val="Ttulo2"/>
      </w:pPr>
      <w:r>
        <w:t>4. Business Model Canvas</w:t>
      </w:r>
    </w:p>
    <w:p w:rsidR="003F0D47" w:rsidRDefault="0011139C">
      <w:r>
        <w:t xml:space="preserve">O modelo da QSoft já existe e funciona; </w:t>
      </w:r>
      <w:proofErr w:type="gramStart"/>
      <w:r>
        <w:t>a</w:t>
      </w:r>
      <w:proofErr w:type="gramEnd"/>
      <w:r>
        <w:t xml:space="preserve"> estratégia muda </w:t>
      </w:r>
      <w:r>
        <w:rPr>
          <w:b/>
        </w:rPr>
        <w:t>o que se promete, por onde se entra e como se mede</w:t>
      </w:r>
      <w:r>
        <w:t>, não a operação. O canvas abaixo segue Osterwalder e Pigneur (2010) e descreve a QSoft no segmento prioritário, com a coluna da direita marcando o que muda com o posicionamento. Itens sem fonte na entrevista ou no site são hipótese.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905"/>
        <w:gridCol w:w="3934"/>
        <w:gridCol w:w="3521"/>
      </w:tblGrid>
      <w:tr w:rsidR="003F0D47">
        <w:trPr>
          <w:tblHeader/>
        </w:trPr>
        <w:tc>
          <w:tcPr>
            <w:tcW w:w="1905" w:type="dxa"/>
            <w:shd w:val="clear" w:color="auto" w:fill="F2F2F2"/>
          </w:tcPr>
          <w:p w:rsidR="003F0D47" w:rsidRDefault="0011139C">
            <w:r>
              <w:t>Bloco</w:t>
            </w:r>
          </w:p>
        </w:tc>
        <w:tc>
          <w:tcPr>
            <w:tcW w:w="3934" w:type="dxa"/>
            <w:shd w:val="clear" w:color="auto" w:fill="F2F2F2"/>
          </w:tcPr>
          <w:p w:rsidR="003F0D47" w:rsidRDefault="0011139C">
            <w:r>
              <w:t>Como a QSoft opera</w:t>
            </w:r>
          </w:p>
        </w:tc>
        <w:tc>
          <w:tcPr>
            <w:tcW w:w="3521" w:type="dxa"/>
            <w:shd w:val="clear" w:color="auto" w:fill="F2F2F2"/>
          </w:tcPr>
          <w:p w:rsidR="003F0D47" w:rsidRDefault="0011139C">
            <w:r>
              <w:t xml:space="preserve">O que muda com </w:t>
            </w:r>
            <w:proofErr w:type="gramStart"/>
            <w:r>
              <w:t>a</w:t>
            </w:r>
            <w:proofErr w:type="gramEnd"/>
            <w:r>
              <w:t xml:space="preserve"> estratégia</w:t>
            </w:r>
          </w:p>
        </w:tc>
      </w:tr>
      <w:tr w:rsidR="003F0D47">
        <w:tc>
          <w:tcPr>
            <w:tcW w:w="1905" w:type="dxa"/>
          </w:tcPr>
          <w:p w:rsidR="003F0D47" w:rsidRDefault="0011139C">
            <w:r>
              <w:t>1. Segmentos de clientes</w:t>
            </w:r>
          </w:p>
        </w:tc>
        <w:tc>
          <w:tcPr>
            <w:tcW w:w="3934" w:type="dxa"/>
          </w:tcPr>
          <w:p w:rsidR="003F0D47" w:rsidRDefault="0011139C">
            <w:r>
              <w:t>Empresas médias e grandes, com saúde como segmento de maior relevância; indústria atendida; financeiro e seguros em expansão</w:t>
            </w:r>
          </w:p>
        </w:tc>
        <w:tc>
          <w:tcPr>
            <w:tcW w:w="3521" w:type="dxa"/>
          </w:tcPr>
          <w:p w:rsidR="003F0D47" w:rsidRDefault="0011139C">
            <w:r>
              <w:t>Foco declarado em S1; S2 e S3 como expansão; S4 só como funil de entrada</w:t>
            </w:r>
          </w:p>
        </w:tc>
      </w:tr>
      <w:tr w:rsidR="003F0D47">
        <w:tc>
          <w:tcPr>
            <w:tcW w:w="1905" w:type="dxa"/>
          </w:tcPr>
          <w:p w:rsidR="003F0D47" w:rsidRDefault="0011139C">
            <w:r>
              <w:t>2. Proposta de valor</w:t>
            </w:r>
          </w:p>
        </w:tc>
        <w:tc>
          <w:tcPr>
            <w:tcW w:w="3934" w:type="dxa"/>
          </w:tcPr>
          <w:p w:rsidR="003F0D47" w:rsidRDefault="0011139C">
            <w:r>
              <w:t>Portfólio integrado de dados, BI, governança e IA, com proximidade e mais de 25 anos de experiência</w:t>
            </w:r>
          </w:p>
        </w:tc>
        <w:tc>
          <w:tcPr>
            <w:tcW w:w="3521" w:type="dxa"/>
          </w:tcPr>
          <w:p w:rsidR="003F0D47" w:rsidRDefault="0011139C">
            <w:r>
              <w:t xml:space="preserve">“Dados que viram decisão”: valor provado etapa </w:t>
            </w:r>
            <w:proofErr w:type="gramStart"/>
            <w:r>
              <w:t>a</w:t>
            </w:r>
            <w:proofErr w:type="gramEnd"/>
            <w:r>
              <w:t xml:space="preserve"> etapa (seção 3)</w:t>
            </w:r>
          </w:p>
        </w:tc>
      </w:tr>
      <w:tr w:rsidR="003F0D47">
        <w:tc>
          <w:tcPr>
            <w:tcW w:w="1905" w:type="dxa"/>
          </w:tcPr>
          <w:p w:rsidR="003F0D47" w:rsidRDefault="0011139C">
            <w:r>
              <w:t>3. Canais</w:t>
            </w:r>
          </w:p>
        </w:tc>
        <w:tc>
          <w:tcPr>
            <w:tcW w:w="3934" w:type="dxa"/>
          </w:tcPr>
          <w:p w:rsidR="003F0D47" w:rsidRDefault="0011139C">
            <w:r>
              <w:t>Networking, eventos e SDR; site, SEO e Google Ads; treinamentos e conteúdo</w:t>
            </w:r>
          </w:p>
        </w:tc>
        <w:tc>
          <w:tcPr>
            <w:tcW w:w="3521" w:type="dxa"/>
          </w:tcPr>
          <w:p w:rsidR="003F0D47" w:rsidRDefault="0011139C">
            <w:r>
              <w:t>Marketing digital por setor, conteúdo por etapa do funil, LinkedIn e indicação de parceiros (DO2, DO3)</w:t>
            </w:r>
          </w:p>
        </w:tc>
      </w:tr>
      <w:tr w:rsidR="003F0D47">
        <w:tc>
          <w:tcPr>
            <w:tcW w:w="1905" w:type="dxa"/>
          </w:tcPr>
          <w:p w:rsidR="003F0D47" w:rsidRDefault="0011139C">
            <w:r>
              <w:t>4. Relacionamento com clientes</w:t>
            </w:r>
          </w:p>
        </w:tc>
        <w:tc>
          <w:tcPr>
            <w:tcW w:w="3934" w:type="dxa"/>
          </w:tcPr>
          <w:p w:rsidR="003F0D47" w:rsidRDefault="0011139C">
            <w:r>
              <w:t>Contas acompanhadas de perto, contratos de 12, 24 e 36 meses, cross-selling</w:t>
            </w:r>
          </w:p>
        </w:tc>
        <w:tc>
          <w:tcPr>
            <w:tcW w:w="3521" w:type="dxa"/>
          </w:tcPr>
          <w:p w:rsidR="003F0D47" w:rsidRDefault="0011139C">
            <w:r>
              <w:t>Régua de relacionamento, NPS e indicadores de expansão por conta (DA3)</w:t>
            </w:r>
          </w:p>
        </w:tc>
      </w:tr>
      <w:tr w:rsidR="003F0D47">
        <w:tc>
          <w:tcPr>
            <w:tcW w:w="1905" w:type="dxa"/>
          </w:tcPr>
          <w:p w:rsidR="003F0D47" w:rsidRDefault="0011139C">
            <w:r>
              <w:t>5. Fontes de receita</w:t>
            </w:r>
          </w:p>
        </w:tc>
        <w:tc>
          <w:tcPr>
            <w:tcW w:w="3934" w:type="dxa"/>
          </w:tcPr>
          <w:p w:rsidR="003F0D47" w:rsidRDefault="0011139C">
            <w:r>
              <w:t>Projetos de BI, engenharia, IA e customizados; contratos recorrentes; treinamentos; produtos de dados</w:t>
            </w:r>
          </w:p>
        </w:tc>
        <w:tc>
          <w:tcPr>
            <w:tcW w:w="3521" w:type="dxa"/>
          </w:tcPr>
          <w:p w:rsidR="003F0D47" w:rsidRDefault="0011139C">
            <w:r>
              <w:t>Diagnóstico como oferta de entrada; pilotos de escopo curto; participação de cada fonte na receita a levantar</w:t>
            </w:r>
          </w:p>
        </w:tc>
      </w:tr>
      <w:tr w:rsidR="003F0D47">
        <w:tc>
          <w:tcPr>
            <w:tcW w:w="1905" w:type="dxa"/>
          </w:tcPr>
          <w:p w:rsidR="003F0D47" w:rsidRDefault="0011139C">
            <w:r>
              <w:t>6. Recursos principais</w:t>
            </w:r>
          </w:p>
        </w:tc>
        <w:tc>
          <w:tcPr>
            <w:tcW w:w="3934" w:type="dxa"/>
          </w:tcPr>
          <w:p w:rsidR="003F0D47" w:rsidRDefault="0011139C">
            <w:r>
              <w:t>Equipe técnica; conhecimento acumulado em 500+ clientes e 300+ projetos; parcerias; marca; base instalada</w:t>
            </w:r>
          </w:p>
        </w:tc>
        <w:tc>
          <w:tcPr>
            <w:tcW w:w="3521" w:type="dxa"/>
          </w:tcPr>
          <w:p w:rsidR="003F0D47" w:rsidRDefault="0011139C">
            <w:r>
              <w:t>Biblioteca de cases com ROI e metodologia de diagnóstico como ativos novos</w:t>
            </w:r>
          </w:p>
        </w:tc>
      </w:tr>
      <w:tr w:rsidR="003F0D47">
        <w:tc>
          <w:tcPr>
            <w:tcW w:w="1905" w:type="dxa"/>
          </w:tcPr>
          <w:p w:rsidR="003F0D47" w:rsidRDefault="0011139C">
            <w:r>
              <w:lastRenderedPageBreak/>
              <w:t>7. Atividades principais</w:t>
            </w:r>
          </w:p>
        </w:tc>
        <w:tc>
          <w:tcPr>
            <w:tcW w:w="3934" w:type="dxa"/>
          </w:tcPr>
          <w:p w:rsidR="003F0D47" w:rsidRDefault="0011139C">
            <w:r>
              <w:t>Entrega de projetos; treinamentos; desenvolvimento de produtos de dados; gestão de contas</w:t>
            </w:r>
          </w:p>
        </w:tc>
        <w:tc>
          <w:tcPr>
            <w:tcW w:w="3521" w:type="dxa"/>
          </w:tcPr>
          <w:p w:rsidR="003F0D47" w:rsidRDefault="0011139C">
            <w:r>
              <w:t>Produção de conteúdo e eventos setoriais; mensuração do funil</w:t>
            </w:r>
          </w:p>
        </w:tc>
      </w:tr>
      <w:tr w:rsidR="003F0D47">
        <w:tc>
          <w:tcPr>
            <w:tcW w:w="1905" w:type="dxa"/>
          </w:tcPr>
          <w:p w:rsidR="003F0D47" w:rsidRDefault="0011139C">
            <w:r>
              <w:t>8. Parcerias principais</w:t>
            </w:r>
          </w:p>
        </w:tc>
        <w:tc>
          <w:tcPr>
            <w:tcW w:w="3934" w:type="dxa"/>
          </w:tcPr>
          <w:p w:rsidR="003F0D47" w:rsidRDefault="0011139C">
            <w:r>
              <w:t>Google Cloud, Databricks, Salesforce/Tableau e outras plataformas</w:t>
            </w:r>
          </w:p>
        </w:tc>
        <w:tc>
          <w:tcPr>
            <w:tcW w:w="3521" w:type="dxa"/>
          </w:tcPr>
          <w:p w:rsidR="003F0D47" w:rsidRDefault="0011139C">
            <w:r>
              <w:t>Programa de coexistência com parceiros (FA2); associações setoriais de saúde como canal (hipótese)</w:t>
            </w:r>
          </w:p>
        </w:tc>
      </w:tr>
      <w:tr w:rsidR="003F0D47">
        <w:tc>
          <w:tcPr>
            <w:tcW w:w="1905" w:type="dxa"/>
          </w:tcPr>
          <w:p w:rsidR="003F0D47" w:rsidRDefault="0011139C">
            <w:r>
              <w:t>9. Estrutura de custos</w:t>
            </w:r>
          </w:p>
        </w:tc>
        <w:tc>
          <w:tcPr>
            <w:tcW w:w="3934" w:type="dxa"/>
          </w:tcPr>
          <w:p w:rsidR="003F0D47" w:rsidRDefault="0011139C">
            <w:r>
              <w:t>Equipe técnica (hipótese: maior custo), licenças e certificações de plataforma, vendas (SDR e eventos), marketing, infraestrutura dos produtos</w:t>
            </w:r>
          </w:p>
        </w:tc>
        <w:tc>
          <w:tcPr>
            <w:tcW w:w="3521" w:type="dxa"/>
          </w:tcPr>
          <w:p w:rsidR="003F0D47" w:rsidRDefault="0011139C">
            <w:r>
              <w:t>Investimento em conteúdo e automação de marketing para reduzir dependência de canais de alto esforço humano (W3)</w:t>
            </w:r>
          </w:p>
        </w:tc>
      </w:tr>
    </w:tbl>
    <w:p w:rsidR="0011139C" w:rsidRDefault="0011139C"/>
    <w:p w:rsidR="003F0D47" w:rsidRDefault="0011139C">
      <w:r>
        <w:t xml:space="preserve">A ligação entre os blocos 1 a 5 é o funil da estratégia: conteúdo e eventos atraem, o diagnóstico qualifica, o treinamento e o piloto reduzem o risco, o projeto gera a receita e o contrato recorrente sustenta </w:t>
      </w:r>
      <w:proofErr w:type="gramStart"/>
      <w:r>
        <w:t>a</w:t>
      </w:r>
      <w:proofErr w:type="gramEnd"/>
      <w:r>
        <w:t xml:space="preserve"> expansão. Os blocos 6 a 9 dizem se esse funil é viável: o que mais pesa é o tempo da equipe técnica gasto em diagnósticos e pilotos que não viram projeto, por isso a </w:t>
      </w:r>
      <w:proofErr w:type="gramStart"/>
      <w:r>
        <w:t>taxa</w:t>
      </w:r>
      <w:proofErr w:type="gramEnd"/>
      <w:r>
        <w:t xml:space="preserve"> de conversão desses passos é o indicador mais importante a obter.</w:t>
      </w:r>
    </w:p>
    <w:p w:rsidR="0011139C" w:rsidRDefault="0011139C">
      <w:pPr>
        <w:pStyle w:val="Ttulo3"/>
      </w:pPr>
    </w:p>
    <w:p w:rsidR="0011139C" w:rsidRDefault="0011139C">
      <w:pPr>
        <w:pStyle w:val="Ttulo3"/>
      </w:pPr>
    </w:p>
    <w:p w:rsidR="0011139C" w:rsidRDefault="0011139C">
      <w:pPr>
        <w:pStyle w:val="Ttulo3"/>
      </w:pPr>
    </w:p>
    <w:p w:rsidR="0011139C" w:rsidRDefault="0011139C">
      <w:pPr>
        <w:pStyle w:val="Ttulo3"/>
      </w:pPr>
    </w:p>
    <w:p w:rsidR="0011139C" w:rsidRDefault="0011139C">
      <w:pPr>
        <w:pStyle w:val="Ttulo3"/>
      </w:pPr>
    </w:p>
    <w:p w:rsidR="003F0D47" w:rsidRDefault="0011139C">
      <w:pPr>
        <w:pStyle w:val="Ttulo3"/>
      </w:pPr>
      <w:r>
        <w:t>Referências</w:t>
      </w:r>
    </w:p>
    <w:p w:rsidR="003F0D47" w:rsidRDefault="0011139C">
      <w:pPr>
        <w:pStyle w:val="PargrafodaLista"/>
        <w:numPr>
          <w:ilvl w:val="0"/>
          <w:numId w:val="3"/>
        </w:numPr>
      </w:pPr>
      <w:r>
        <w:t>BRASIL. Lei nº 13.709, de 14 de agosto de 2018 (Lei Geral de Proteção de Dados Pessoais).</w:t>
      </w:r>
    </w:p>
    <w:p w:rsidR="003F0D47" w:rsidRDefault="0011139C">
      <w:pPr>
        <w:pStyle w:val="PargrafodaLista"/>
        <w:numPr>
          <w:ilvl w:val="0"/>
          <w:numId w:val="3"/>
        </w:numPr>
      </w:pPr>
      <w:r>
        <w:t xml:space="preserve">CETIC.br/NIC.br. TIC Empresas 2025: uso de Inteligência Artificial nas empresas brasileiras. </w:t>
      </w:r>
      <w:hyperlink r:id="rId7" w:history="1">
        <w:r>
          <w:rPr>
            <w:rStyle w:val="Hyperlink"/>
          </w:rPr>
          <w:t>Material de lançamento</w:t>
        </w:r>
      </w:hyperlink>
      <w:r>
        <w:t>.</w:t>
      </w:r>
    </w:p>
    <w:p w:rsidR="003F0D47" w:rsidRDefault="0011139C">
      <w:pPr>
        <w:pStyle w:val="PargrafodaLista"/>
        <w:numPr>
          <w:ilvl w:val="0"/>
          <w:numId w:val="3"/>
        </w:numPr>
      </w:pPr>
      <w:r>
        <w:t>KOTLER, P.; KELLER, K. L. Administração de Marketing. Posicionamento, pontos de paridade e de diferença.</w:t>
      </w:r>
    </w:p>
    <w:p w:rsidR="003F0D47" w:rsidRDefault="0011139C">
      <w:pPr>
        <w:pStyle w:val="PargrafodaLista"/>
        <w:numPr>
          <w:ilvl w:val="0"/>
          <w:numId w:val="3"/>
        </w:numPr>
      </w:pPr>
      <w:r>
        <w:t>OSTERWALDER, A.; PIGNEUR, Y. Business Model Generation. Hoboken: Wiley, 2010.</w:t>
      </w:r>
    </w:p>
    <w:p w:rsidR="003F0D47" w:rsidRDefault="0011139C">
      <w:pPr>
        <w:pStyle w:val="PargrafodaLista"/>
        <w:numPr>
          <w:ilvl w:val="0"/>
          <w:numId w:val="3"/>
        </w:numPr>
      </w:pPr>
      <w:r>
        <w:t>OSTERWALDER, A.; PIGNEUR, Y.; BERNARDA, G.; SMITH, A. Value Proposition Design. Hoboken: Wiley, 2014.</w:t>
      </w:r>
    </w:p>
    <w:p w:rsidR="003F0D47" w:rsidRDefault="0011139C">
      <w:pPr>
        <w:pStyle w:val="PargrafodaLista"/>
        <w:numPr>
          <w:ilvl w:val="0"/>
          <w:numId w:val="3"/>
        </w:numPr>
      </w:pPr>
      <w:r>
        <w:t>QSOFT. Consultoria em Dados, BI e IA para Empresas. Site institucional.</w:t>
      </w:r>
    </w:p>
    <w:p w:rsidR="003F0D47" w:rsidRDefault="0011139C">
      <w:pPr>
        <w:pStyle w:val="PargrafodaLista"/>
        <w:numPr>
          <w:ilvl w:val="0"/>
          <w:numId w:val="3"/>
        </w:numPr>
      </w:pPr>
      <w:r>
        <w:t xml:space="preserve">TI INSIDE. </w:t>
      </w:r>
      <w:proofErr w:type="gramStart"/>
      <w:r>
        <w:t>A</w:t>
      </w:r>
      <w:proofErr w:type="gramEnd"/>
      <w:r>
        <w:t xml:space="preserve"> IA já entrou nas empresas brasileiras, mas ainda de forma concentrada e padronizada. 25 jun. 2026.</w:t>
      </w:r>
    </w:p>
    <w:p w:rsidR="003F0D47" w:rsidRDefault="0011139C">
      <w:pPr>
        <w:pStyle w:val="PargrafodaLista"/>
        <w:numPr>
          <w:ilvl w:val="0"/>
          <w:numId w:val="3"/>
        </w:numPr>
      </w:pPr>
      <w:r>
        <w:t>Entrevista feita em sala de aula com os representantes da QSoft.</w:t>
      </w:r>
    </w:p>
    <w:sectPr w:rsidR="003F0D4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601642"/>
    <w:multiLevelType w:val="hybridMultilevel"/>
    <w:tmpl w:val="41EA1C48"/>
    <w:lvl w:ilvl="0" w:tplc="7A720C92">
      <w:start w:val="1"/>
      <w:numFmt w:val="bullet"/>
      <w:lvlText w:val="•"/>
      <w:lvlJc w:val="left"/>
      <w:pPr>
        <w:ind w:left="720" w:hanging="360"/>
      </w:pPr>
    </w:lvl>
    <w:lvl w:ilvl="1" w:tplc="97D8BD56">
      <w:start w:val="1"/>
      <w:numFmt w:val="bullet"/>
      <w:lvlText w:val="o"/>
      <w:lvlJc w:val="left"/>
      <w:pPr>
        <w:ind w:left="1440" w:hanging="360"/>
      </w:pPr>
    </w:lvl>
    <w:lvl w:ilvl="2" w:tplc="1004B732">
      <w:start w:val="1"/>
      <w:numFmt w:val="bullet"/>
      <w:lvlText w:val="▪"/>
      <w:lvlJc w:val="left"/>
      <w:pPr>
        <w:ind w:left="2160" w:hanging="360"/>
      </w:pPr>
    </w:lvl>
    <w:lvl w:ilvl="3" w:tplc="71485B32">
      <w:start w:val="1"/>
      <w:numFmt w:val="bullet"/>
      <w:lvlText w:val="•"/>
      <w:lvlJc w:val="left"/>
      <w:pPr>
        <w:ind w:left="2880" w:hanging="360"/>
      </w:pPr>
    </w:lvl>
    <w:lvl w:ilvl="4" w:tplc="EF4E33A2">
      <w:start w:val="1"/>
      <w:numFmt w:val="bullet"/>
      <w:lvlText w:val="o"/>
      <w:lvlJc w:val="left"/>
      <w:pPr>
        <w:ind w:left="3600" w:hanging="360"/>
      </w:pPr>
    </w:lvl>
    <w:lvl w:ilvl="5" w:tplc="2E68B116">
      <w:start w:val="1"/>
      <w:numFmt w:val="bullet"/>
      <w:lvlText w:val="▪"/>
      <w:lvlJc w:val="left"/>
      <w:pPr>
        <w:ind w:left="4320" w:hanging="360"/>
      </w:pPr>
    </w:lvl>
    <w:lvl w:ilvl="6" w:tplc="2E689F08">
      <w:start w:val="1"/>
      <w:numFmt w:val="bullet"/>
      <w:lvlText w:val="•"/>
      <w:lvlJc w:val="left"/>
      <w:pPr>
        <w:ind w:left="5040" w:hanging="360"/>
      </w:pPr>
    </w:lvl>
    <w:lvl w:ilvl="7" w:tplc="90D4870E">
      <w:start w:val="1"/>
      <w:numFmt w:val="bullet"/>
      <w:lvlText w:val="o"/>
      <w:lvlJc w:val="left"/>
      <w:pPr>
        <w:ind w:left="5760" w:hanging="360"/>
      </w:pPr>
    </w:lvl>
    <w:lvl w:ilvl="8" w:tplc="83FE13F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6EB6C9E"/>
    <w:multiLevelType w:val="hybridMultilevel"/>
    <w:tmpl w:val="6FA45768"/>
    <w:lvl w:ilvl="0" w:tplc="C50E3B4A">
      <w:start w:val="1"/>
      <w:numFmt w:val="decimal"/>
      <w:lvlText w:val="%1."/>
      <w:lvlJc w:val="left"/>
      <w:pPr>
        <w:ind w:left="720" w:hanging="360"/>
      </w:pPr>
    </w:lvl>
    <w:lvl w:ilvl="1" w:tplc="0BD67F3C">
      <w:start w:val="1"/>
      <w:numFmt w:val="lowerLetter"/>
      <w:lvlText w:val="%2."/>
      <w:lvlJc w:val="left"/>
      <w:pPr>
        <w:ind w:left="1440" w:hanging="360"/>
      </w:pPr>
    </w:lvl>
    <w:lvl w:ilvl="2" w:tplc="BC3E4748">
      <w:start w:val="1"/>
      <w:numFmt w:val="lowerRoman"/>
      <w:lvlText w:val="%3."/>
      <w:lvlJc w:val="left"/>
      <w:pPr>
        <w:ind w:left="2160" w:hanging="360"/>
      </w:pPr>
    </w:lvl>
    <w:lvl w:ilvl="3" w:tplc="E7703E5C">
      <w:start w:val="1"/>
      <w:numFmt w:val="decimal"/>
      <w:lvlText w:val="%4."/>
      <w:lvlJc w:val="left"/>
      <w:pPr>
        <w:ind w:left="2880" w:hanging="360"/>
      </w:pPr>
    </w:lvl>
    <w:lvl w:ilvl="4" w:tplc="CC1E275C">
      <w:start w:val="1"/>
      <w:numFmt w:val="lowerLetter"/>
      <w:lvlText w:val="%5."/>
      <w:lvlJc w:val="left"/>
      <w:pPr>
        <w:ind w:left="3600" w:hanging="360"/>
      </w:pPr>
    </w:lvl>
    <w:lvl w:ilvl="5" w:tplc="7D1ABC64">
      <w:start w:val="1"/>
      <w:numFmt w:val="lowerRoman"/>
      <w:lvlText w:val="%6."/>
      <w:lvlJc w:val="left"/>
      <w:pPr>
        <w:ind w:left="4320" w:hanging="360"/>
      </w:pPr>
    </w:lvl>
    <w:lvl w:ilvl="6" w:tplc="BE904D80">
      <w:start w:val="1"/>
      <w:numFmt w:val="decimal"/>
      <w:lvlText w:val="%7."/>
      <w:lvlJc w:val="left"/>
      <w:pPr>
        <w:ind w:left="5040" w:hanging="360"/>
      </w:pPr>
    </w:lvl>
    <w:lvl w:ilvl="7" w:tplc="B23E97C4">
      <w:start w:val="1"/>
      <w:numFmt w:val="lowerLetter"/>
      <w:lvlText w:val="%8."/>
      <w:lvlJc w:val="left"/>
      <w:pPr>
        <w:ind w:left="5760" w:hanging="360"/>
      </w:pPr>
    </w:lvl>
    <w:lvl w:ilvl="8" w:tplc="E168EBC2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47"/>
    <w:rsid w:val="0011139C"/>
    <w:rsid w:val="002B74E9"/>
    <w:rsid w:val="003F0D47"/>
    <w:rsid w:val="00FE59A4"/>
    <w:rsid w:val="00FF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1DCCB"/>
  <w15:docId w15:val="{E31B287B-137C-4689-A92C-2E7F4D91B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etic.br/media/analises/TIC-Empresas-2025-lancamento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iinside.com.br/25/06/2026/a-ia-ja-entrou-nas-empresas-brasileiras-mas-ainda-de-forma-concentrada-e-padronizad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2437</Words>
  <Characters>13162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DAMA — Marketing Estratégico (QSoft)</vt:lpstr>
    </vt:vector>
  </TitlesOfParts>
  <Company/>
  <LinksUpToDate>false</LinksUpToDate>
  <CharactersWithSpaces>15568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DAMA — Marketing Estratégico (QSoft)</dc:title>
  <dc:creator>GUSTAVO BASILIO GASPAR GOMES</dc:creator>
  <dc:description>Claude Docs node/a78bd64c-993b@6 docx-w7</dc:description>
  <cp:lastModifiedBy>GUSTAVO BASILIO GASPAR GOMES</cp:lastModifiedBy>
  <cp:revision>3</cp:revision>
  <dcterms:created xsi:type="dcterms:W3CDTF">2026-10-23T19:06:00Z</dcterms:created>
  <dcterms:modified xsi:type="dcterms:W3CDTF">2026-10-23T21:12:00Z</dcterms:modified>
</cp:coreProperties>
</file>