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categorias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riterio-ordenador-urgencia-del-tratamiento"/>
      <w:bookmarkEnd w:id="21"/>
      <w:r>
        <w:t xml:space="preserve">Criterio ordenador: urgencia del tratamiento</w:t>
      </w:r>
    </w:p>
    <w:p>
      <w:pPr>
        <w:pStyle w:val="FirstParagraph"/>
      </w:pPr>
      <w:r>
        <w:t xml:space="preserve">Una lista tentativa podría ser la siguiente:</w:t>
      </w:r>
    </w:p>
    <w:p>
      <w:pPr>
        <w:pStyle w:val="Compact"/>
        <w:numPr>
          <w:numId w:val="1001"/>
          <w:ilvl w:val="0"/>
        </w:numPr>
      </w:pPr>
      <w:r>
        <w:t xml:space="preserve">Primeros Auxilios (UTI me parece muy dramático)</w:t>
      </w:r>
    </w:p>
    <w:p>
      <w:pPr>
        <w:pStyle w:val="Compact"/>
        <w:numPr>
          <w:numId w:val="1002"/>
          <w:ilvl w:val="0"/>
        </w:numPr>
      </w:pPr>
      <w:r>
        <w:t xml:space="preserve">Qué los caracteriza:</w:t>
      </w:r>
    </w:p>
    <w:p>
      <w:pPr>
        <w:pStyle w:val="Compact"/>
        <w:numPr>
          <w:numId w:val="1003"/>
          <w:ilvl w:val="1"/>
        </w:numPr>
      </w:pPr>
      <w:r>
        <w:t xml:space="preserve">Son políticas de aplicación rápida para detener una situación grave, en curso o inminente. Las consideraciones de corto plazo tienen un peso muy alto comparado con las de mediano y largo plazo.</w:t>
      </w:r>
    </w:p>
    <w:p>
      <w:pPr>
        <w:pStyle w:val="Compact"/>
        <w:numPr>
          <w:numId w:val="1002"/>
          <w:ilvl w:val="0"/>
        </w:numPr>
      </w:pPr>
      <w:r>
        <w:t xml:space="preserve">Ejemplos de política:</w:t>
      </w:r>
    </w:p>
    <w:p>
      <w:pPr>
        <w:pStyle w:val="Compact"/>
        <w:numPr>
          <w:numId w:val="1004"/>
          <w:ilvl w:val="1"/>
        </w:numPr>
      </w:pPr>
      <w:r>
        <w:t xml:space="preserve">Ayuda financiera internacional para reconstrucción post desastre</w:t>
      </w:r>
    </w:p>
    <w:p>
      <w:pPr>
        <w:pStyle w:val="Compact"/>
        <w:numPr>
          <w:numId w:val="1004"/>
          <w:ilvl w:val="1"/>
        </w:numPr>
      </w:pPr>
      <w:r>
        <w:t xml:space="preserve">Intervención de empresas fiancieras (bailouts, toma de control estatal, fusiones forzosas, corralitos) en medio de una crisis a la chilena de 1982, Argentina 2001 o USA 2007</w:t>
      </w:r>
    </w:p>
    <w:p>
      <w:pPr>
        <w:pStyle w:val="Compact"/>
        <w:numPr>
          <w:numId w:val="1004"/>
          <w:ilvl w:val="1"/>
        </w:numPr>
      </w:pPr>
      <w:r>
        <w:t xml:space="preserve">Fin de covertibilidad</w:t>
      </w:r>
    </w:p>
    <w:p>
      <w:pPr>
        <w:pStyle w:val="Compact"/>
        <w:numPr>
          <w:numId w:val="1004"/>
          <w:ilvl w:val="1"/>
        </w:numPr>
      </w:pPr>
      <w:r>
        <w:t xml:space="preserve">Condonación de parte de la deuda, dentro de un plan de reestructuracion de la deuda</w:t>
      </w:r>
    </w:p>
    <w:p>
      <w:pPr>
        <w:pStyle w:val="Compact"/>
        <w:numPr>
          <w:numId w:val="1002"/>
          <w:ilvl w:val="0"/>
        </w:numPr>
      </w:pPr>
      <w:r>
        <w:t xml:space="preserve">Posibles casos 2016-2017</w:t>
      </w:r>
    </w:p>
    <w:p>
      <w:pPr>
        <w:pStyle w:val="Compact"/>
        <w:numPr>
          <w:numId w:val="1005"/>
          <w:ilvl w:val="1"/>
        </w:numPr>
      </w:pPr>
      <w:r>
        <w:t xml:space="preserve">Venezuela</w:t>
      </w:r>
    </w:p>
    <w:p>
      <w:pPr>
        <w:pStyle w:val="Compact"/>
        <w:numPr>
          <w:numId w:val="1006"/>
          <w:ilvl w:val="0"/>
        </w:numPr>
      </w:pPr>
      <w:r>
        <w:t xml:space="preserve">Tratamientos curativos:</w:t>
      </w:r>
    </w:p>
    <w:p>
      <w:pPr>
        <w:pStyle w:val="Compact"/>
        <w:numPr>
          <w:numId w:val="1007"/>
          <w:ilvl w:val="0"/>
        </w:numPr>
      </w:pPr>
      <w:r>
        <w:t xml:space="preserve">Qué los caracteriza:</w:t>
      </w:r>
    </w:p>
    <w:p>
      <w:pPr>
        <w:pStyle w:val="Compact"/>
        <w:numPr>
          <w:numId w:val="1008"/>
          <w:ilvl w:val="1"/>
        </w:numPr>
      </w:pPr>
      <w:r>
        <w:t xml:space="preserve">Las consideraciones de corto plazo no tienen tanto protagonismo, el riesgo de crisis o de empeoramiento se considera alejado y el centro está en superar los efectos de una crisis o de superar indicadores negativos que de empeorar conduzcan a una crisis</w:t>
      </w:r>
    </w:p>
    <w:p>
      <w:pPr>
        <w:pStyle w:val="Compact"/>
        <w:numPr>
          <w:numId w:val="1007"/>
          <w:ilvl w:val="0"/>
        </w:numPr>
      </w:pPr>
      <w:r>
        <w:t xml:space="preserve">Ejemplos de política:</w:t>
      </w:r>
    </w:p>
    <w:p>
      <w:pPr>
        <w:pStyle w:val="Compact"/>
        <w:numPr>
          <w:numId w:val="1009"/>
          <w:ilvl w:val="1"/>
        </w:numPr>
      </w:pPr>
      <w:r>
        <w:t xml:space="preserve">Incremento gradual del gasto público para estimular la demanda</w:t>
      </w:r>
    </w:p>
    <w:p>
      <w:pPr>
        <w:pStyle w:val="Compact"/>
        <w:numPr>
          <w:numId w:val="1009"/>
          <w:ilvl w:val="1"/>
        </w:numPr>
      </w:pPr>
      <w:r>
        <w:t xml:space="preserve">Recorte de tasas para para evitar caída del consumo o la inversión</w:t>
      </w:r>
    </w:p>
    <w:p>
      <w:pPr>
        <w:pStyle w:val="Compact"/>
        <w:numPr>
          <w:numId w:val="1009"/>
          <w:ilvl w:val="1"/>
        </w:numPr>
      </w:pPr>
      <w:r>
        <w:t xml:space="preserve">Disminución gradual del déficit público para mantener bajo control el nivel de la deuda (vía moderación del gasto, eliminando exenciones, modificando tasas impositivas, mejorando la fiscalización)</w:t>
      </w:r>
    </w:p>
    <w:p>
      <w:pPr>
        <w:pStyle w:val="Compact"/>
        <w:numPr>
          <w:numId w:val="1009"/>
          <w:ilvl w:val="1"/>
        </w:numPr>
      </w:pPr>
      <w:r>
        <w:t xml:space="preserve">Devaluaciones programadas del tipo de cambio o intervenciones esporádicas para alinear las expectativas sobre valor futuro de las divisas</w:t>
      </w:r>
    </w:p>
    <w:p>
      <w:pPr>
        <w:pStyle w:val="Compact"/>
        <w:numPr>
          <w:numId w:val="1007"/>
          <w:ilvl w:val="0"/>
        </w:numPr>
      </w:pPr>
      <w:r>
        <w:t xml:space="preserve">Posibles casos 2016-2017</w:t>
      </w:r>
    </w:p>
    <w:p>
      <w:pPr>
        <w:pStyle w:val="Compact"/>
        <w:numPr>
          <w:numId w:val="1010"/>
          <w:ilvl w:val="1"/>
        </w:numPr>
      </w:pPr>
      <w:r>
        <w:t xml:space="preserve">Brasil, Argentina, Ecuador</w:t>
      </w:r>
    </w:p>
    <w:p>
      <w:pPr>
        <w:pStyle w:val="Compact"/>
        <w:numPr>
          <w:numId w:val="1011"/>
          <w:ilvl w:val="0"/>
        </w:numPr>
      </w:pPr>
      <w:r>
        <w:t xml:space="preserve">Manejo de riesgos y fortalecimiento:</w:t>
      </w:r>
    </w:p>
    <w:p>
      <w:pPr>
        <w:pStyle w:val="Compact"/>
        <w:numPr>
          <w:numId w:val="1012"/>
          <w:ilvl w:val="0"/>
        </w:numPr>
      </w:pPr>
      <w:r>
        <w:t xml:space="preserve">Qué los caracteriza:</w:t>
      </w:r>
    </w:p>
    <w:p>
      <w:pPr>
        <w:pStyle w:val="Compact"/>
        <w:numPr>
          <w:numId w:val="1013"/>
          <w:ilvl w:val="1"/>
        </w:numPr>
      </w:pPr>
      <w:r>
        <w:t xml:space="preserve">Se enfocan en problemas crónicos que no revisten riesgo en el corto plazo o que aumentarían la robustez o el dinamismo de la economía</w:t>
      </w:r>
    </w:p>
    <w:p>
      <w:pPr>
        <w:pStyle w:val="Compact"/>
        <w:numPr>
          <w:numId w:val="1012"/>
          <w:ilvl w:val="0"/>
        </w:numPr>
      </w:pPr>
      <w:r>
        <w:t xml:space="preserve">Ejemplos de política:</w:t>
      </w:r>
    </w:p>
    <w:p>
      <w:pPr>
        <w:pStyle w:val="Compact"/>
        <w:numPr>
          <w:numId w:val="1014"/>
          <w:ilvl w:val="1"/>
        </w:numPr>
      </w:pPr>
      <w:r>
        <w:t xml:space="preserve">Aumento de la infraestructura productiva pública o de uso extendido (carreteras, puertos, telecomunicaciones, etc.)</w:t>
      </w:r>
    </w:p>
    <w:p>
      <w:pPr>
        <w:pStyle w:val="Compact"/>
        <w:numPr>
          <w:numId w:val="1014"/>
          <w:ilvl w:val="1"/>
        </w:numPr>
      </w:pPr>
      <w:r>
        <w:t xml:space="preserve">Disminución de brechas de información, de habilidades, de género. Mayor cohesión social cimentada en una sociedad mas igualitaria.</w:t>
      </w:r>
    </w:p>
    <w:p>
      <w:pPr>
        <w:pStyle w:val="Compact"/>
        <w:numPr>
          <w:numId w:val="1014"/>
          <w:ilvl w:val="1"/>
        </w:numPr>
      </w:pPr>
      <w:r>
        <w:t xml:space="preserve">Aumento de la capacidad productiva con miras a suavizar ciclos y alargar expansiones</w:t>
      </w:r>
    </w:p>
    <w:p>
      <w:pPr>
        <w:pStyle w:val="Compact"/>
        <w:numPr>
          <w:numId w:val="1014"/>
          <w:ilvl w:val="1"/>
        </w:numPr>
      </w:pPr>
      <w:r>
        <w:t xml:space="preserve">Reducción del pasivo ambiental, sostenibilidad.</w:t>
      </w:r>
    </w:p>
    <w:p>
      <w:pPr>
        <w:pStyle w:val="Compact"/>
        <w:numPr>
          <w:numId w:val="1014"/>
          <w:ilvl w:val="1"/>
        </w:numPr>
      </w:pPr>
      <w:r>
        <w:t xml:space="preserve">Regulación y monitoreo de la industria financiera.</w:t>
      </w:r>
    </w:p>
    <w:p>
      <w:pPr>
        <w:pStyle w:val="Compact"/>
        <w:numPr>
          <w:numId w:val="1014"/>
          <w:ilvl w:val="1"/>
        </w:numPr>
      </w:pPr>
      <w:r>
        <w:t xml:space="preserve">Políticas estructurales de ahorro</w:t>
      </w:r>
    </w:p>
    <w:p>
      <w:pPr>
        <w:pStyle w:val="Compact"/>
        <w:numPr>
          <w:numId w:val="1014"/>
          <w:ilvl w:val="1"/>
        </w:numPr>
      </w:pPr>
      <w:r>
        <w:t xml:space="preserve">Protección social (seguros de desempleo, pensiones, seguros de salud)</w:t>
      </w:r>
    </w:p>
    <w:p>
      <w:pPr>
        <w:pStyle w:val="Compact"/>
        <w:numPr>
          <w:numId w:val="1012"/>
          <w:ilvl w:val="0"/>
        </w:numPr>
      </w:pPr>
      <w:r>
        <w:t xml:space="preserve">Posibles casos 2016-2017</w:t>
      </w:r>
    </w:p>
    <w:p>
      <w:pPr>
        <w:pStyle w:val="Compact"/>
        <w:numPr>
          <w:numId w:val="1015"/>
          <w:ilvl w:val="1"/>
        </w:numPr>
      </w:pPr>
      <w:r>
        <w:t xml:space="preserve">Colombia, México, Chile, Perú</w:t>
      </w:r>
    </w:p>
    <w:p>
      <w:pPr>
        <w:pStyle w:val="Heading2"/>
      </w:pPr>
      <w:bookmarkStart w:id="22" w:name="variables-indicadores-y-choques"/>
      <w:bookmarkEnd w:id="22"/>
      <w:r>
        <w:t xml:space="preserve">variables, indicadores y choques</w:t>
      </w:r>
    </w:p>
    <w:p>
      <w:pPr>
        <w:pStyle w:val="Heading3"/>
      </w:pPr>
      <w:bookmarkStart w:id="23" w:name="en-situaciones-que-precisen-primeros-auxilios"/>
      <w:bookmarkEnd w:id="23"/>
      <w:r>
        <w:t xml:space="preserve">En situaciones que precisen primeros auxilios</w:t>
      </w:r>
    </w:p>
    <w:p>
      <w:pPr>
        <w:pStyle w:val="Compact"/>
        <w:numPr>
          <w:numId w:val="1016"/>
          <w:ilvl w:val="0"/>
        </w:numPr>
      </w:pPr>
      <w:r>
        <w:t xml:space="preserve">Riesgo de insolvencia del sector publico</w:t>
      </w:r>
    </w:p>
    <w:p>
      <w:pPr>
        <w:pStyle w:val="Compact"/>
        <w:numPr>
          <w:numId w:val="1017"/>
          <w:ilvl w:val="1"/>
        </w:numPr>
      </w:pPr>
      <w:r>
        <w:t xml:space="preserve">Variable: Monto de deuda publica y monto del servicio</w:t>
      </w:r>
    </w:p>
    <w:p>
      <w:pPr>
        <w:pStyle w:val="Compact"/>
        <w:numPr>
          <w:numId w:val="1018"/>
          <w:ilvl w:val="2"/>
        </w:numPr>
      </w:pPr>
      <w:r>
        <w:t xml:space="preserve">Gob Central (esta disponible)</w:t>
      </w:r>
    </w:p>
    <w:p>
      <w:pPr>
        <w:pStyle w:val="Compact"/>
        <w:numPr>
          <w:numId w:val="1018"/>
          <w:ilvl w:val="2"/>
        </w:numPr>
      </w:pPr>
      <w:r>
        <w:t xml:space="preserve">Gob General (algunos paises)</w:t>
      </w:r>
    </w:p>
    <w:p>
      <w:pPr>
        <w:pStyle w:val="Compact"/>
        <w:numPr>
          <w:numId w:val="1018"/>
          <w:ilvl w:val="2"/>
        </w:numPr>
      </w:pPr>
      <w:r>
        <w:t xml:space="preserve">Empresas relacionadas (muy poco. hay que buscar en Bloomberg)</w:t>
      </w:r>
    </w:p>
    <w:p>
      <w:pPr>
        <w:pStyle w:val="Compact"/>
        <w:numPr>
          <w:numId w:val="1018"/>
          <w:ilvl w:val="2"/>
        </w:numPr>
      </w:pPr>
      <w:r>
        <w:t xml:space="preserve">Corto versus mediano plazo: poca informacion</w:t>
      </w:r>
    </w:p>
    <w:p>
      <w:pPr>
        <w:pStyle w:val="Compact"/>
        <w:numPr>
          <w:numId w:val="1018"/>
          <w:ilvl w:val="2"/>
        </w:numPr>
      </w:pPr>
      <w:r>
        <w:t xml:space="preserve">Moneda local versus USD (hay innfo sobre el total)</w:t>
      </w:r>
    </w:p>
    <w:p>
      <w:pPr>
        <w:pStyle w:val="Compact"/>
        <w:numPr>
          <w:numId w:val="1018"/>
          <w:ilvl w:val="2"/>
        </w:numPr>
      </w:pPr>
      <w:r>
        <w:t xml:space="preserve">Tasa fija versus variable</w:t>
      </w:r>
    </w:p>
    <w:p>
      <w:pPr>
        <w:pStyle w:val="Compact"/>
        <w:numPr>
          <w:numId w:val="1017"/>
          <w:ilvl w:val="1"/>
        </w:numPr>
      </w:pPr>
      <w:r>
        <w:t xml:space="preserve">Choque: Terminos de intercambio, en tanto afecten recaudacion</w:t>
      </w:r>
    </w:p>
    <w:p>
      <w:pPr>
        <w:pStyle w:val="Compact"/>
        <w:numPr>
          <w:numId w:val="1017"/>
          <w:ilvl w:val="1"/>
        </w:numPr>
      </w:pPr>
      <w:r>
        <w:t xml:space="preserve">Choque: precios de productos de empresas relacionadas</w:t>
      </w:r>
    </w:p>
    <w:p>
      <w:pPr>
        <w:pStyle w:val="Compact"/>
        <w:numPr>
          <w:numId w:val="1017"/>
          <w:ilvl w:val="1"/>
        </w:numPr>
      </w:pPr>
      <w:r>
        <w:t xml:space="preserve">Choque: Tasas de interes y premio por riesgo</w:t>
      </w:r>
    </w:p>
    <w:p>
      <w:pPr>
        <w:pStyle w:val="Compact"/>
        <w:numPr>
          <w:numId w:val="1016"/>
          <w:ilvl w:val="0"/>
        </w:numPr>
      </w:pPr>
      <w:r>
        <w:t xml:space="preserve">Riesgo de insolvencia de (parte de) el sector financiero</w:t>
      </w:r>
    </w:p>
    <w:p>
      <w:pPr>
        <w:pStyle w:val="Compact"/>
        <w:numPr>
          <w:numId w:val="1019"/>
          <w:ilvl w:val="1"/>
        </w:numPr>
      </w:pPr>
      <w:r>
        <w:t xml:space="preserve">Variable: pasivos/capital</w:t>
      </w:r>
    </w:p>
    <w:p>
      <w:pPr>
        <w:pStyle w:val="Compact"/>
        <w:numPr>
          <w:numId w:val="1019"/>
          <w:ilvl w:val="1"/>
        </w:numPr>
      </w:pPr>
      <w:r>
        <w:t xml:space="preserve">Activos ajustados por riesgo? Quizas Capital Nivel 1/ Total (Basilea III)</w:t>
      </w:r>
    </w:p>
    <w:p>
      <w:pPr>
        <w:pStyle w:val="Compact"/>
        <w:numPr>
          <w:numId w:val="1019"/>
          <w:ilvl w:val="1"/>
        </w:numPr>
      </w:pPr>
      <w:r>
        <w:t xml:space="preserve">Variable: prestamos</w:t>
      </w:r>
    </w:p>
    <w:p>
      <w:pPr>
        <w:pStyle w:val="Compact"/>
        <w:numPr>
          <w:numId w:val="1020"/>
          <w:ilvl w:val="2"/>
        </w:numPr>
      </w:pPr>
      <w:r>
        <w:t xml:space="preserve">corto versus largo plazo</w:t>
      </w:r>
    </w:p>
    <w:p>
      <w:pPr>
        <w:pStyle w:val="Compact"/>
        <w:numPr>
          <w:numId w:val="1020"/>
          <w:ilvl w:val="2"/>
        </w:numPr>
      </w:pPr>
      <w:r>
        <w:t xml:space="preserve">moneda local versus divisas</w:t>
      </w:r>
    </w:p>
    <w:p>
      <w:pPr>
        <w:pStyle w:val="Compact"/>
        <w:numPr>
          <w:numId w:val="1020"/>
          <w:ilvl w:val="2"/>
        </w:numPr>
      </w:pPr>
      <w:r>
        <w:t xml:space="preserve">tasas de morosidad y de repago</w:t>
      </w:r>
    </w:p>
    <w:p>
      <w:pPr>
        <w:pStyle w:val="Compact"/>
        <w:numPr>
          <w:numId w:val="1020"/>
          <w:ilvl w:val="2"/>
        </w:numPr>
      </w:pPr>
      <w:r>
        <w:t xml:space="preserve">tasas promedio por tipo (consumo, hipotecario)</w:t>
      </w:r>
    </w:p>
    <w:p>
      <w:pPr>
        <w:pStyle w:val="Compact"/>
        <w:numPr>
          <w:numId w:val="1019"/>
          <w:ilvl w:val="1"/>
        </w:numPr>
      </w:pPr>
      <w:r>
        <w:t xml:space="preserve">Variable: carga financiera de hogares y morosidad</w:t>
      </w:r>
    </w:p>
    <w:p>
      <w:pPr>
        <w:pStyle w:val="Compact"/>
        <w:numPr>
          <w:numId w:val="1019"/>
          <w:ilvl w:val="1"/>
        </w:numPr>
      </w:pPr>
      <w:r>
        <w:t xml:space="preserve">Variable: precio de los bienes raices</w:t>
      </w:r>
    </w:p>
    <w:p>
      <w:pPr>
        <w:pStyle w:val="Compact"/>
        <w:numPr>
          <w:numId w:val="1019"/>
          <w:ilvl w:val="1"/>
        </w:numPr>
      </w:pPr>
      <w:r>
        <w:t xml:space="preserve">Choque: Cese de financiamiento externo (como un sudden stop)</w:t>
      </w:r>
    </w:p>
    <w:p>
      <w:pPr>
        <w:pStyle w:val="Compact"/>
        <w:numPr>
          <w:numId w:val="1019"/>
          <w:ilvl w:val="1"/>
        </w:numPr>
      </w:pPr>
      <w:r>
        <w:t xml:space="preserve">Choque: alza en tasa de interes externa</w:t>
      </w:r>
    </w:p>
    <w:p>
      <w:pPr>
        <w:pStyle w:val="Compact"/>
        <w:numPr>
          <w:numId w:val="1019"/>
          <w:ilvl w:val="1"/>
        </w:numPr>
      </w:pPr>
      <w:r>
        <w:t xml:space="preserve">Choque: tipo de cambio (efecto inmediato en su hoja de balance)</w:t>
      </w:r>
    </w:p>
    <w:p>
      <w:pPr>
        <w:pStyle w:val="Compact"/>
        <w:numPr>
          <w:numId w:val="1019"/>
          <w:ilvl w:val="1"/>
        </w:numPr>
      </w:pPr>
      <w:r>
        <w:t xml:space="preserve">Choque: terminos de intercambio (efecto sobre capacidad de pago de clientes, ya sea empresas que</w:t>
      </w:r>
      <w:r>
        <w:t xml:space="preserve"> </w:t>
      </w:r>
      <w:r>
        <w:t xml:space="preserve">ven efctado su margen de explotacion o familias que caen en desempleo o subempleo)</w:t>
      </w:r>
    </w:p>
    <w:p>
      <w:pPr>
        <w:pStyle w:val="Compact"/>
        <w:numPr>
          <w:numId w:val="1016"/>
          <w:ilvl w:val="0"/>
        </w:numPr>
      </w:pPr>
      <w:r>
        <w:t xml:space="preserve">Riesgo de quiebras masivas en el sector real</w:t>
      </w:r>
    </w:p>
    <w:p>
      <w:pPr>
        <w:pStyle w:val="Compact"/>
        <w:numPr>
          <w:numId w:val="1021"/>
          <w:ilvl w:val="1"/>
        </w:numPr>
      </w:pPr>
      <w:r>
        <w:t xml:space="preserve">Variable: utilidades sectoriales</w:t>
      </w:r>
    </w:p>
    <w:p>
      <w:pPr>
        <w:pStyle w:val="Compact"/>
        <w:numPr>
          <w:numId w:val="1021"/>
          <w:ilvl w:val="1"/>
        </w:numPr>
      </w:pPr>
      <w:r>
        <w:t xml:space="preserve">Variable: delinquent loans, morosidad mayor a noventa dias (non performing loans)</w:t>
      </w:r>
    </w:p>
    <w:p>
      <w:pPr>
        <w:pStyle w:val="Compact"/>
        <w:numPr>
          <w:numId w:val="1021"/>
          <w:ilvl w:val="1"/>
        </w:numPr>
      </w:pPr>
      <w:r>
        <w:t xml:space="preserve">Variable: apalancamiento</w:t>
      </w:r>
    </w:p>
    <w:p>
      <w:pPr>
        <w:pStyle w:val="Compact"/>
        <w:numPr>
          <w:numId w:val="1022"/>
          <w:ilvl w:val="2"/>
        </w:numPr>
      </w:pPr>
      <w:r>
        <w:t xml:space="preserve">corto versus largo plazo</w:t>
      </w:r>
    </w:p>
    <w:p>
      <w:pPr>
        <w:pStyle w:val="Compact"/>
        <w:numPr>
          <w:numId w:val="1022"/>
          <w:ilvl w:val="2"/>
        </w:numPr>
      </w:pPr>
      <w:r>
        <w:t xml:space="preserve">moneda local versus divisas</w:t>
      </w:r>
    </w:p>
    <w:p>
      <w:pPr>
        <w:pStyle w:val="Compact"/>
        <w:numPr>
          <w:numId w:val="1022"/>
          <w:ilvl w:val="2"/>
        </w:numPr>
      </w:pPr>
      <w:r>
        <w:t xml:space="preserve">tasas de morosidad y de repago</w:t>
      </w:r>
    </w:p>
    <w:p>
      <w:pPr>
        <w:pStyle w:val="Compact"/>
        <w:numPr>
          <w:numId w:val="1022"/>
          <w:ilvl w:val="2"/>
        </w:numPr>
      </w:pPr>
      <w:r>
        <w:t xml:space="preserve">tasas promedio por tipo (consumo, hipotecario)</w:t>
      </w:r>
    </w:p>
    <w:p>
      <w:pPr>
        <w:pStyle w:val="Compact"/>
        <w:numPr>
          <w:numId w:val="1021"/>
          <w:ilvl w:val="1"/>
        </w:numPr>
      </w:pPr>
      <w:r>
        <w:t xml:space="preserve">Variable: carga financiera de hogares y morosidad</w:t>
      </w:r>
    </w:p>
    <w:p>
      <w:pPr>
        <w:pStyle w:val="Compact"/>
        <w:numPr>
          <w:numId w:val="1021"/>
          <w:ilvl w:val="1"/>
        </w:numPr>
      </w:pPr>
      <w:r>
        <w:t xml:space="preserve">Variable: precios de las viviendas</w:t>
      </w:r>
    </w:p>
    <w:p>
      <w:pPr>
        <w:pStyle w:val="Compact"/>
        <w:numPr>
          <w:numId w:val="1021"/>
          <w:ilvl w:val="1"/>
        </w:numPr>
      </w:pPr>
      <w:r>
        <w:t xml:space="preserve">Variable: ventas al por mayor</w:t>
      </w:r>
    </w:p>
    <w:p>
      <w:pPr>
        <w:pStyle w:val="Compact"/>
        <w:numPr>
          <w:numId w:val="1021"/>
          <w:ilvl w:val="1"/>
        </w:numPr>
      </w:pPr>
      <w:r>
        <w:t xml:space="preserve">Variable: Indices de prod industrial</w:t>
      </w:r>
    </w:p>
    <w:p>
      <w:pPr>
        <w:pStyle w:val="Compact"/>
        <w:numPr>
          <w:numId w:val="1021"/>
          <w:ilvl w:val="1"/>
        </w:numPr>
      </w:pPr>
      <w:r>
        <w:t xml:space="preserve">Choque: Cese de financiamiento externo (como un sudden stop)</w:t>
      </w:r>
    </w:p>
    <w:p>
      <w:pPr>
        <w:pStyle w:val="Compact"/>
        <w:numPr>
          <w:numId w:val="1021"/>
          <w:ilvl w:val="1"/>
        </w:numPr>
      </w:pPr>
      <w:r>
        <w:t xml:space="preserve">Choque: alza en tasa de interes externa</w:t>
      </w:r>
    </w:p>
    <w:p>
      <w:pPr>
        <w:pStyle w:val="Compact"/>
        <w:numPr>
          <w:numId w:val="1021"/>
          <w:ilvl w:val="1"/>
        </w:numPr>
      </w:pPr>
      <w:r>
        <w:t xml:space="preserve">Choque: tipo de cambio (efecto inmediato en su hoja de balance)</w:t>
      </w:r>
    </w:p>
    <w:p>
      <w:pPr>
        <w:pStyle w:val="Compact"/>
        <w:numPr>
          <w:numId w:val="1021"/>
          <w:ilvl w:val="1"/>
        </w:numPr>
      </w:pPr>
      <w:r>
        <w:t xml:space="preserve">Choque: terminos de intercambio (efecto sobre capacidad de pago de clientes, ya sea empresas que</w:t>
      </w:r>
      <w:r>
        <w:t xml:space="preserve"> </w:t>
      </w:r>
      <w:r>
        <w:t xml:space="preserve">ven afectado su margen de explotacion o familias que caen en desempleo o subempleo)</w:t>
      </w:r>
    </w:p>
    <w:p>
      <w:pPr>
        <w:pStyle w:val="Compact"/>
        <w:numPr>
          <w:numId w:val="1016"/>
          <w:ilvl w:val="0"/>
        </w:numPr>
      </w:pPr>
      <w:r>
        <w:t xml:space="preserve">Hiperinflacion</w:t>
      </w:r>
    </w:p>
    <w:p>
      <w:pPr>
        <w:pStyle w:val="Compact"/>
        <w:numPr>
          <w:numId w:val="1023"/>
          <w:ilvl w:val="1"/>
        </w:numPr>
      </w:pPr>
      <w:r>
        <w:t xml:space="preserve">Variable: IPC</w:t>
      </w:r>
    </w:p>
    <w:p>
      <w:pPr>
        <w:pStyle w:val="Compact"/>
        <w:numPr>
          <w:numId w:val="1023"/>
          <w:ilvl w:val="1"/>
        </w:numPr>
      </w:pPr>
      <w:r>
        <w:t xml:space="preserve">Variable: Base Monetaria</w:t>
      </w:r>
    </w:p>
    <w:p>
      <w:pPr>
        <w:pStyle w:val="Compact"/>
        <w:numPr>
          <w:numId w:val="1023"/>
          <w:ilvl w:val="1"/>
        </w:numPr>
      </w:pPr>
      <w:r>
        <w:t xml:space="preserve">Variable: deficit fiscal</w:t>
      </w:r>
    </w:p>
    <w:p>
      <w:pPr>
        <w:pStyle w:val="Compact"/>
        <w:numPr>
          <w:numId w:val="1023"/>
          <w:ilvl w:val="1"/>
        </w:numPr>
      </w:pPr>
      <w:r>
        <w:t xml:space="preserve">Variable: autonomia de la autoridad monetaria</w:t>
      </w:r>
    </w:p>
    <w:p>
      <w:pPr>
        <w:pStyle w:val="Compact"/>
        <w:numPr>
          <w:numId w:val="1023"/>
          <w:ilvl w:val="1"/>
        </w:numPr>
      </w:pPr>
      <w:r>
        <w:t xml:space="preserve">Choque: tasa de interes o riesgo pais, incentivos a deflactar valor de deuda publica</w:t>
      </w:r>
    </w:p>
    <w:p>
      <w:pPr>
        <w:pStyle w:val="Compact"/>
        <w:numPr>
          <w:numId w:val="1023"/>
          <w:ilvl w:val="1"/>
        </w:numPr>
      </w:pPr>
      <w:r>
        <w:t xml:space="preserve">Choque: terminos de intercambio, si afectan recaudacion o actividad</w:t>
      </w:r>
    </w:p>
    <w:p>
      <w:pPr>
        <w:pStyle w:val="Compact"/>
        <w:numPr>
          <w:numId w:val="1016"/>
          <w:ilvl w:val="0"/>
        </w:numPr>
      </w:pPr>
      <w:r>
        <w:t xml:space="preserve">Desempleo muy alto (~ 20%)</w:t>
      </w:r>
    </w:p>
    <w:p>
      <w:pPr>
        <w:pStyle w:val="Compact"/>
        <w:numPr>
          <w:numId w:val="1024"/>
          <w:ilvl w:val="1"/>
        </w:numPr>
      </w:pPr>
      <w:r>
        <w:t xml:space="preserve">Tasa de desocupacion</w:t>
      </w:r>
    </w:p>
    <w:p>
      <w:pPr>
        <w:pStyle w:val="Compact"/>
        <w:numPr>
          <w:numId w:val="1024"/>
          <w:ilvl w:val="1"/>
        </w:numPr>
      </w:pPr>
      <w:r>
        <w:t xml:space="preserve">Empleo por cuenta propia</w:t>
      </w:r>
    </w:p>
    <w:p>
      <w:pPr>
        <w:pStyle w:val="Compact"/>
        <w:numPr>
          <w:numId w:val="1024"/>
          <w:ilvl w:val="1"/>
        </w:numPr>
      </w:pPr>
      <w:r>
        <w:t xml:space="preserve">Subempleo</w:t>
      </w:r>
    </w:p>
    <w:p>
      <w:pPr>
        <w:pStyle w:val="Compact"/>
        <w:numPr>
          <w:numId w:val="1016"/>
          <w:ilvl w:val="0"/>
        </w:numPr>
      </w:pPr>
      <w:r>
        <w:t xml:space="preserve">Riesgo de una corrida importante contra la moneda local</w:t>
      </w:r>
    </w:p>
    <w:p>
      <w:pPr>
        <w:pStyle w:val="Compact"/>
        <w:numPr>
          <w:numId w:val="1025"/>
          <w:ilvl w:val="1"/>
        </w:numPr>
      </w:pPr>
      <w:r>
        <w:t xml:space="preserve">Variable: reservas internacionales</w:t>
      </w:r>
    </w:p>
    <w:p>
      <w:pPr>
        <w:pStyle w:val="Compact"/>
        <w:numPr>
          <w:numId w:val="1025"/>
          <w:ilvl w:val="1"/>
        </w:numPr>
      </w:pPr>
      <w:r>
        <w:t xml:space="preserve">Variable: deficit en cuenta corriente</w:t>
      </w:r>
    </w:p>
    <w:p>
      <w:pPr>
        <w:pStyle w:val="Compact"/>
        <w:numPr>
          <w:numId w:val="1025"/>
          <w:ilvl w:val="1"/>
        </w:numPr>
      </w:pPr>
      <w:r>
        <w:t xml:space="preserve">Variable: crecimiento de importaciones y de exportaciones</w:t>
      </w:r>
    </w:p>
    <w:p>
      <w:pPr>
        <w:pStyle w:val="Compact"/>
        <w:numPr>
          <w:numId w:val="1025"/>
          <w:ilvl w:val="1"/>
        </w:numPr>
      </w:pPr>
      <w:r>
        <w:t xml:space="preserve">Choque: terminos de intercambio</w:t>
      </w:r>
    </w:p>
    <w:p>
      <w:pPr>
        <w:pStyle w:val="Compact"/>
        <w:numPr>
          <w:numId w:val="1025"/>
          <w:ilvl w:val="1"/>
        </w:numPr>
      </w:pPr>
      <w:r>
        <w:t xml:space="preserve">Choque: tasas de interes, premio por riesgo</w:t>
      </w:r>
    </w:p>
    <w:p>
      <w:pPr>
        <w:pStyle w:val="Heading3"/>
      </w:pPr>
      <w:bookmarkStart w:id="24" w:name="en-situaciones-de-tratamiento-curativo"/>
      <w:bookmarkEnd w:id="24"/>
      <w:r>
        <w:t xml:space="preserve">En situaciones de 'tratamiento curativo'</w:t>
      </w:r>
    </w:p>
    <w:p>
      <w:pPr>
        <w:pStyle w:val="Compact"/>
        <w:numPr>
          <w:numId w:val="1026"/>
          <w:ilvl w:val="0"/>
        </w:numPr>
      </w:pPr>
      <w:r>
        <w:t xml:space="preserve">Carga financiera pesada pero sostenible en el sector publico</w:t>
      </w:r>
    </w:p>
    <w:p>
      <w:pPr>
        <w:pStyle w:val="Compact"/>
        <w:numPr>
          <w:numId w:val="1027"/>
          <w:ilvl w:val="1"/>
        </w:numPr>
      </w:pPr>
      <w:r>
        <w:t xml:space="preserve">Variable: servicio de la deuda sobre ingresos</w:t>
      </w:r>
    </w:p>
    <w:p>
      <w:pPr>
        <w:pStyle w:val="Compact"/>
        <w:numPr>
          <w:numId w:val="1028"/>
          <w:ilvl w:val="2"/>
        </w:numPr>
      </w:pPr>
      <w:r>
        <w:t xml:space="preserve">Denominacion, madurez y tasa de interes</w:t>
      </w:r>
    </w:p>
    <w:p>
      <w:pPr>
        <w:pStyle w:val="Compact"/>
        <w:numPr>
          <w:numId w:val="1027"/>
          <w:ilvl w:val="1"/>
        </w:numPr>
      </w:pPr>
      <w:r>
        <w:t xml:space="preserve">Apalancamiento de empresas relacionadas</w:t>
      </w:r>
    </w:p>
    <w:p>
      <w:pPr>
        <w:pStyle w:val="Compact"/>
        <w:numPr>
          <w:numId w:val="1027"/>
          <w:ilvl w:val="1"/>
        </w:numPr>
      </w:pPr>
      <w:r>
        <w:t xml:space="preserve">Choque: Terminos de intercambio, en tanto afecten recaudacion</w:t>
      </w:r>
    </w:p>
    <w:p>
      <w:pPr>
        <w:pStyle w:val="Compact"/>
        <w:numPr>
          <w:numId w:val="1027"/>
          <w:ilvl w:val="1"/>
        </w:numPr>
      </w:pPr>
      <w:r>
        <w:t xml:space="preserve">Choque: precios de productos de empresas relacionadas</w:t>
      </w:r>
    </w:p>
    <w:p>
      <w:pPr>
        <w:pStyle w:val="Compact"/>
        <w:numPr>
          <w:numId w:val="1027"/>
          <w:ilvl w:val="1"/>
        </w:numPr>
      </w:pPr>
      <w:r>
        <w:t xml:space="preserve">Choque: Tasas de interes y premio por riesgo</w:t>
      </w:r>
    </w:p>
    <w:p>
      <w:pPr>
        <w:pStyle w:val="Compact"/>
        <w:numPr>
          <w:numId w:val="1026"/>
          <w:ilvl w:val="0"/>
        </w:numPr>
      </w:pPr>
      <w:r>
        <w:t xml:space="preserve">Sector financiero con bajas provisiones de capital y composicion riesgosa de cartera, tasa de morosidad en aumento</w:t>
      </w:r>
    </w:p>
    <w:p>
      <w:pPr>
        <w:pStyle w:val="Compact"/>
        <w:numPr>
          <w:numId w:val="1029"/>
          <w:ilvl w:val="1"/>
        </w:numPr>
      </w:pPr>
      <w:r>
        <w:t xml:space="preserve">Variable: pasivos/capital, provisiones de capital en caso de emergencia (Basilea I y II)</w:t>
      </w:r>
    </w:p>
    <w:p>
      <w:pPr>
        <w:pStyle w:val="Compact"/>
        <w:numPr>
          <w:numId w:val="1029"/>
          <w:ilvl w:val="1"/>
        </w:numPr>
      </w:pPr>
      <w:r>
        <w:t xml:space="preserve">Activos ajustados por riesgo? Quizas Capital Nivel 1/ Total (Basilea III)</w:t>
      </w:r>
    </w:p>
    <w:p>
      <w:pPr>
        <w:pStyle w:val="Compact"/>
        <w:numPr>
          <w:numId w:val="1029"/>
          <w:ilvl w:val="1"/>
        </w:numPr>
      </w:pPr>
      <w:r>
        <w:t xml:space="preserve">Variable: prestamos</w:t>
      </w:r>
    </w:p>
    <w:p>
      <w:pPr>
        <w:pStyle w:val="Compact"/>
        <w:numPr>
          <w:numId w:val="1030"/>
          <w:ilvl w:val="2"/>
        </w:numPr>
      </w:pPr>
      <w:r>
        <w:t xml:space="preserve">corto versus largo plazo</w:t>
      </w:r>
    </w:p>
    <w:p>
      <w:pPr>
        <w:pStyle w:val="Compact"/>
        <w:numPr>
          <w:numId w:val="1030"/>
          <w:ilvl w:val="2"/>
        </w:numPr>
      </w:pPr>
      <w:r>
        <w:t xml:space="preserve">moneda local versus divisas</w:t>
      </w:r>
    </w:p>
    <w:p>
      <w:pPr>
        <w:pStyle w:val="Compact"/>
        <w:numPr>
          <w:numId w:val="1030"/>
          <w:ilvl w:val="2"/>
        </w:numPr>
      </w:pPr>
      <w:r>
        <w:t xml:space="preserve">tasas de morosidad y de repago</w:t>
      </w:r>
    </w:p>
    <w:p>
      <w:pPr>
        <w:pStyle w:val="Compact"/>
        <w:numPr>
          <w:numId w:val="1030"/>
          <w:ilvl w:val="2"/>
        </w:numPr>
      </w:pPr>
      <w:r>
        <w:t xml:space="preserve">tasas promedio por tipo (consumo, hipotecario)</w:t>
      </w:r>
    </w:p>
    <w:p>
      <w:pPr>
        <w:pStyle w:val="Compact"/>
        <w:numPr>
          <w:numId w:val="1029"/>
          <w:ilvl w:val="1"/>
        </w:numPr>
      </w:pPr>
      <w:r>
        <w:t xml:space="preserve">Variable: carga financiera de hogares y morosidad</w:t>
      </w:r>
    </w:p>
    <w:p>
      <w:pPr>
        <w:pStyle w:val="Compact"/>
        <w:numPr>
          <w:numId w:val="1029"/>
          <w:ilvl w:val="1"/>
        </w:numPr>
      </w:pPr>
      <w:r>
        <w:t xml:space="preserve">Choque: Cese de financiamiento externo (como un sudden stop)</w:t>
      </w:r>
    </w:p>
    <w:p>
      <w:pPr>
        <w:pStyle w:val="Compact"/>
        <w:numPr>
          <w:numId w:val="1029"/>
          <w:ilvl w:val="1"/>
        </w:numPr>
      </w:pPr>
      <w:r>
        <w:t xml:space="preserve">Choque: alza en tasa de interes externa</w:t>
      </w:r>
    </w:p>
    <w:p>
      <w:pPr>
        <w:pStyle w:val="Compact"/>
        <w:numPr>
          <w:numId w:val="1029"/>
          <w:ilvl w:val="1"/>
        </w:numPr>
      </w:pPr>
      <w:r>
        <w:t xml:space="preserve">Choque: tipo de cambio (efecto inmediato en su hoja de balance)</w:t>
      </w:r>
    </w:p>
    <w:p>
      <w:pPr>
        <w:pStyle w:val="Compact"/>
        <w:numPr>
          <w:numId w:val="1029"/>
          <w:ilvl w:val="1"/>
        </w:numPr>
      </w:pPr>
      <w:r>
        <w:t xml:space="preserve">Choque: terminos de intercambio (efecto sobre capacidad de pago de clientes, ya sea empresas que</w:t>
      </w:r>
      <w:r>
        <w:t xml:space="preserve"> </w:t>
      </w:r>
      <w:r>
        <w:t xml:space="preserve">ven afectado su margen de explotacion o familias que caen en desempleo o subempleo)</w:t>
      </w:r>
    </w:p>
    <w:p>
      <w:pPr>
        <w:pStyle w:val="Compact"/>
        <w:numPr>
          <w:numId w:val="1026"/>
          <w:ilvl w:val="0"/>
        </w:numPr>
      </w:pPr>
      <w:r>
        <w:t xml:space="preserve">Sector real en contraccion moderada o estancamiento</w:t>
      </w:r>
    </w:p>
    <w:p>
      <w:pPr>
        <w:pStyle w:val="Compact"/>
        <w:numPr>
          <w:numId w:val="1031"/>
          <w:ilvl w:val="1"/>
        </w:numPr>
      </w:pPr>
      <w:r>
        <w:t xml:space="preserve">Variable: utilidades sectoriales</w:t>
      </w:r>
    </w:p>
    <w:p>
      <w:pPr>
        <w:pStyle w:val="Compact"/>
        <w:numPr>
          <w:numId w:val="1031"/>
          <w:ilvl w:val="1"/>
        </w:numPr>
      </w:pPr>
      <w:r>
        <w:t xml:space="preserve">Variable: delinquent loans, morosidad mayor a noventa dias (non performing loans)</w:t>
      </w:r>
    </w:p>
    <w:p>
      <w:pPr>
        <w:pStyle w:val="Compact"/>
        <w:numPr>
          <w:numId w:val="1031"/>
          <w:ilvl w:val="1"/>
        </w:numPr>
      </w:pPr>
      <w:r>
        <w:t xml:space="preserve">Variable: apalancamiento</w:t>
      </w:r>
    </w:p>
    <w:p>
      <w:pPr>
        <w:pStyle w:val="Compact"/>
        <w:numPr>
          <w:numId w:val="1032"/>
          <w:ilvl w:val="2"/>
        </w:numPr>
      </w:pPr>
      <w:r>
        <w:t xml:space="preserve">corto versus largo plazo</w:t>
      </w:r>
    </w:p>
    <w:p>
      <w:pPr>
        <w:pStyle w:val="Compact"/>
        <w:numPr>
          <w:numId w:val="1032"/>
          <w:ilvl w:val="2"/>
        </w:numPr>
      </w:pPr>
      <w:r>
        <w:t xml:space="preserve">moneda local versus divisas</w:t>
      </w:r>
    </w:p>
    <w:p>
      <w:pPr>
        <w:pStyle w:val="Compact"/>
        <w:numPr>
          <w:numId w:val="1032"/>
          <w:ilvl w:val="2"/>
        </w:numPr>
      </w:pPr>
      <w:r>
        <w:t xml:space="preserve">tasas de morosidad y de repago</w:t>
      </w:r>
    </w:p>
    <w:p>
      <w:pPr>
        <w:pStyle w:val="Compact"/>
        <w:numPr>
          <w:numId w:val="1032"/>
          <w:ilvl w:val="2"/>
        </w:numPr>
      </w:pPr>
      <w:r>
        <w:t xml:space="preserve">tasas promedio por tipo (consumo, hipotecario)</w:t>
      </w:r>
    </w:p>
    <w:p>
      <w:pPr>
        <w:pStyle w:val="Compact"/>
        <w:numPr>
          <w:numId w:val="1031"/>
          <w:ilvl w:val="1"/>
        </w:numPr>
      </w:pPr>
      <w:r>
        <w:t xml:space="preserve">Variable: carga financiera de hogares y morosidad</w:t>
      </w:r>
    </w:p>
    <w:p>
      <w:pPr>
        <w:pStyle w:val="Compact"/>
        <w:numPr>
          <w:numId w:val="1031"/>
          <w:ilvl w:val="1"/>
        </w:numPr>
      </w:pPr>
      <w:r>
        <w:t xml:space="preserve">Variable: precios de las viviendas</w:t>
      </w:r>
    </w:p>
    <w:p>
      <w:pPr>
        <w:pStyle w:val="Compact"/>
        <w:numPr>
          <w:numId w:val="1031"/>
          <w:ilvl w:val="1"/>
        </w:numPr>
      </w:pPr>
      <w:r>
        <w:t xml:space="preserve">Variable: ventas al por mayor</w:t>
      </w:r>
    </w:p>
    <w:p>
      <w:pPr>
        <w:pStyle w:val="Compact"/>
        <w:numPr>
          <w:numId w:val="1031"/>
          <w:ilvl w:val="1"/>
        </w:numPr>
      </w:pPr>
      <w:r>
        <w:t xml:space="preserve">Variable: Indices de prod industrial</w:t>
      </w:r>
    </w:p>
    <w:p>
      <w:pPr>
        <w:pStyle w:val="Compact"/>
        <w:numPr>
          <w:numId w:val="1031"/>
          <w:ilvl w:val="1"/>
        </w:numPr>
      </w:pPr>
      <w:r>
        <w:t xml:space="preserve">Variable: Exportaciones</w:t>
      </w:r>
    </w:p>
    <w:p>
      <w:pPr>
        <w:pStyle w:val="Compact"/>
        <w:numPr>
          <w:numId w:val="1033"/>
          <w:ilvl w:val="2"/>
        </w:numPr>
      </w:pPr>
      <w:r>
        <w:t xml:space="preserve">Monto y cantidad por destino</w:t>
      </w:r>
    </w:p>
    <w:p>
      <w:pPr>
        <w:pStyle w:val="Compact"/>
        <w:numPr>
          <w:numId w:val="1031"/>
          <w:ilvl w:val="1"/>
        </w:numPr>
      </w:pPr>
      <w:r>
        <w:t xml:space="preserve">Choque: Cese de financiamiento externo (como un sudden stop)</w:t>
      </w:r>
    </w:p>
    <w:p>
      <w:pPr>
        <w:pStyle w:val="Compact"/>
        <w:numPr>
          <w:numId w:val="1031"/>
          <w:ilvl w:val="1"/>
        </w:numPr>
      </w:pPr>
      <w:r>
        <w:t xml:space="preserve">Choque: alza en tasa de interes externa</w:t>
      </w:r>
    </w:p>
    <w:p>
      <w:pPr>
        <w:pStyle w:val="Compact"/>
        <w:numPr>
          <w:numId w:val="1031"/>
          <w:ilvl w:val="1"/>
        </w:numPr>
      </w:pPr>
      <w:r>
        <w:t xml:space="preserve">Choque: tipo de cambio (efecto inmediato en su hoja de balance)</w:t>
      </w:r>
    </w:p>
    <w:p>
      <w:pPr>
        <w:pStyle w:val="Compact"/>
        <w:numPr>
          <w:numId w:val="1031"/>
          <w:ilvl w:val="1"/>
        </w:numPr>
      </w:pPr>
      <w:r>
        <w:t xml:space="preserve">Choque: terminos de intercambio (efecto sobre capacidad de pago de clientes, ya sea empresas que</w:t>
      </w:r>
      <w:r>
        <w:t xml:space="preserve"> </w:t>
      </w:r>
      <w:r>
        <w:t xml:space="preserve">ven afectado su margen de explotacion o familias que caen en desempleo o subempleo)</w:t>
      </w:r>
    </w:p>
    <w:p>
      <w:pPr>
        <w:pStyle w:val="Compact"/>
        <w:numPr>
          <w:numId w:val="1031"/>
          <w:ilvl w:val="1"/>
        </w:numPr>
      </w:pPr>
      <w:r>
        <w:t xml:space="preserve">Choque: crecimiento de los destinos de exportacion (China, USA, EU, etc)</w:t>
      </w:r>
    </w:p>
    <w:p>
      <w:pPr>
        <w:pStyle w:val="Compact"/>
        <w:numPr>
          <w:numId w:val="1026"/>
          <w:ilvl w:val="0"/>
        </w:numPr>
      </w:pPr>
      <w:r>
        <w:t xml:space="preserve">Deficit importantes y prolongados en la cuenta corriente:</w:t>
      </w:r>
    </w:p>
    <w:p>
      <w:pPr>
        <w:pStyle w:val="Compact"/>
        <w:numPr>
          <w:numId w:val="1034"/>
          <w:ilvl w:val="1"/>
        </w:numPr>
      </w:pPr>
      <w:r>
        <w:t xml:space="preserve">Variable: crecimiento exportaciones e importaciones, total y por socios</w:t>
      </w:r>
    </w:p>
    <w:p>
      <w:pPr>
        <w:pStyle w:val="Compact"/>
        <w:numPr>
          <w:numId w:val="1034"/>
          <w:ilvl w:val="1"/>
        </w:numPr>
      </w:pPr>
      <w:r>
        <w:t xml:space="preserve">Variable: transferencias y remesas</w:t>
      </w:r>
    </w:p>
    <w:p>
      <w:pPr>
        <w:pStyle w:val="Compact"/>
        <w:numPr>
          <w:numId w:val="1034"/>
          <w:ilvl w:val="1"/>
        </w:numPr>
      </w:pPr>
      <w:r>
        <w:t xml:space="preserve">Variable: grado de concentracion de la canasta de productos exportados</w:t>
      </w:r>
    </w:p>
    <w:p>
      <w:pPr>
        <w:pStyle w:val="Compact"/>
        <w:numPr>
          <w:numId w:val="1034"/>
          <w:ilvl w:val="1"/>
        </w:numPr>
      </w:pPr>
      <w:r>
        <w:t xml:space="preserve">Variable: grado de concentracion de los destinos de exportacion</w:t>
      </w:r>
    </w:p>
    <w:p>
      <w:pPr>
        <w:pStyle w:val="Compact"/>
        <w:numPr>
          <w:numId w:val="1026"/>
          <w:ilvl w:val="0"/>
        </w:numPr>
      </w:pPr>
      <w:r>
        <w:t xml:space="preserve">Desempleo alto a moderado (8 a 19)</w:t>
      </w:r>
    </w:p>
    <w:p>
      <w:pPr>
        <w:pStyle w:val="Compact"/>
        <w:numPr>
          <w:numId w:val="1035"/>
          <w:ilvl w:val="1"/>
        </w:numPr>
      </w:pPr>
      <w:r>
        <w:t xml:space="preserve">Tasa de desocupacion</w:t>
      </w:r>
    </w:p>
    <w:p>
      <w:pPr>
        <w:pStyle w:val="Compact"/>
        <w:numPr>
          <w:numId w:val="1035"/>
          <w:ilvl w:val="1"/>
        </w:numPr>
      </w:pPr>
      <w:r>
        <w:t xml:space="preserve">Empleo por cuenta propia</w:t>
      </w:r>
    </w:p>
    <w:p>
      <w:pPr>
        <w:pStyle w:val="Compact"/>
        <w:numPr>
          <w:numId w:val="1035"/>
          <w:ilvl w:val="1"/>
        </w:numPr>
      </w:pPr>
      <w:r>
        <w:t xml:space="preserve">Subempleo</w:t>
      </w:r>
    </w:p>
    <w:p>
      <w:pPr>
        <w:pStyle w:val="Compact"/>
        <w:numPr>
          <w:numId w:val="1026"/>
          <w:ilvl w:val="0"/>
        </w:numPr>
      </w:pPr>
      <w:r>
        <w:t xml:space="preserve">Inflacion de dos digitos o muy fuera de rango-meta</w:t>
      </w:r>
    </w:p>
    <w:p>
      <w:pPr>
        <w:pStyle w:val="Compact"/>
        <w:numPr>
          <w:numId w:val="1036"/>
          <w:ilvl w:val="1"/>
        </w:numPr>
      </w:pPr>
      <w:r>
        <w:t xml:space="preserve">Variable: IPC</w:t>
      </w:r>
    </w:p>
    <w:p>
      <w:pPr>
        <w:pStyle w:val="Compact"/>
        <w:numPr>
          <w:numId w:val="1036"/>
          <w:ilvl w:val="1"/>
        </w:numPr>
      </w:pPr>
      <w:r>
        <w:t xml:space="preserve">Variable: Base Monetaria</w:t>
      </w:r>
    </w:p>
    <w:p>
      <w:pPr>
        <w:pStyle w:val="Compact"/>
        <w:numPr>
          <w:numId w:val="1036"/>
          <w:ilvl w:val="1"/>
        </w:numPr>
      </w:pPr>
      <w:r>
        <w:t xml:space="preserve">Variable: deficit fiscal</w:t>
      </w:r>
    </w:p>
    <w:p>
      <w:pPr>
        <w:pStyle w:val="Compact"/>
        <w:numPr>
          <w:numId w:val="1036"/>
          <w:ilvl w:val="1"/>
        </w:numPr>
      </w:pPr>
      <w:r>
        <w:t xml:space="preserve">Variable: autonomia de la autoridad monetaria</w:t>
      </w:r>
    </w:p>
    <w:p>
      <w:pPr>
        <w:pStyle w:val="Compact"/>
        <w:numPr>
          <w:numId w:val="1036"/>
          <w:ilvl w:val="1"/>
        </w:numPr>
      </w:pPr>
      <w:r>
        <w:t xml:space="preserve">Choque: tasa de interes o riesgo pais, incentivos a deflactar valor de deuda publica</w:t>
      </w:r>
    </w:p>
    <w:p>
      <w:pPr>
        <w:pStyle w:val="Compact"/>
        <w:numPr>
          <w:numId w:val="1036"/>
          <w:ilvl w:val="1"/>
        </w:numPr>
      </w:pPr>
      <w:r>
        <w:t xml:space="preserve">Choque: terminos de intercambio, si afectan recaudacion o actividad</w:t>
      </w:r>
    </w:p>
    <w:p>
      <w:pPr>
        <w:pStyle w:val="Heading3"/>
      </w:pPr>
      <w:bookmarkStart w:id="25" w:name="en-situaciones-de-tratamientos-preventivos-o-de-fortalecimiento"/>
      <w:bookmarkEnd w:id="25"/>
      <w:r>
        <w:t xml:space="preserve">En situaciones de tratamientos preventivos o de fortalecimiento</w:t>
      </w:r>
    </w:p>
    <w:p>
      <w:pPr>
        <w:pStyle w:val="Compact"/>
        <w:numPr>
          <w:numId w:val="1037"/>
          <w:ilvl w:val="0"/>
        </w:numPr>
      </w:pPr>
      <w:r>
        <w:t xml:space="preserve">Fragilidad: Alta participacion del subempleo y del empleo por cuenta propia</w:t>
      </w:r>
    </w:p>
    <w:p>
      <w:pPr>
        <w:pStyle w:val="Compact"/>
        <w:numPr>
          <w:numId w:val="1038"/>
          <w:ilvl w:val="1"/>
        </w:numPr>
      </w:pPr>
      <w:r>
        <w:t xml:space="preserve">Variable: Porcentaje de subempleados y cuenta propia. Porcentaje de ultimos empleos creados que pertenecen a esas categorias</w:t>
      </w:r>
    </w:p>
    <w:p>
      <w:pPr>
        <w:pStyle w:val="Compact"/>
        <w:numPr>
          <w:numId w:val="1038"/>
          <w:ilvl w:val="1"/>
        </w:numPr>
      </w:pPr>
      <w:r>
        <w:t xml:space="preserve">Choques: terminos de intercambio, de productividad</w:t>
      </w:r>
    </w:p>
    <w:p>
      <w:pPr>
        <w:pStyle w:val="Compact"/>
        <w:numPr>
          <w:numId w:val="1037"/>
          <w:ilvl w:val="0"/>
        </w:numPr>
      </w:pPr>
      <w:r>
        <w:t xml:space="preserve">Fragilidad y limitacion: Expansiones con baja inversion previa y concurrente</w:t>
      </w:r>
    </w:p>
    <w:p>
      <w:pPr>
        <w:pStyle w:val="Compact"/>
        <w:numPr>
          <w:numId w:val="1039"/>
          <w:ilvl w:val="1"/>
        </w:numPr>
      </w:pPr>
      <w:r>
        <w:t xml:space="preserve">Variable: tasas de inversion total, publica y privada</w:t>
      </w:r>
    </w:p>
    <w:p>
      <w:pPr>
        <w:pStyle w:val="Compact"/>
        <w:numPr>
          <w:numId w:val="1039"/>
          <w:ilvl w:val="1"/>
        </w:numPr>
      </w:pPr>
      <w:r>
        <w:t xml:space="preserve">Variable: inversion y capital en areas estrategicas (transporte, telecomunicaciones, energia, tecnologia)</w:t>
      </w:r>
    </w:p>
    <w:p>
      <w:pPr>
        <w:pStyle w:val="Compact"/>
        <w:numPr>
          <w:numId w:val="1037"/>
          <w:ilvl w:val="0"/>
        </w:numPr>
      </w:pPr>
      <w:r>
        <w:t xml:space="preserve">Fragilidad: politicas macroprudenciales insuficientes o ausentes</w:t>
      </w:r>
    </w:p>
    <w:p>
      <w:pPr>
        <w:pStyle w:val="Compact"/>
        <w:numPr>
          <w:numId w:val="1040"/>
          <w:ilvl w:val="1"/>
        </w:numPr>
      </w:pPr>
      <w:r>
        <w:t xml:space="preserve">Variable: grado de implementacion de estadares de Basilea III</w:t>
      </w:r>
    </w:p>
    <w:p>
      <w:pPr>
        <w:pStyle w:val="Compact"/>
        <w:numPr>
          <w:numId w:val="1040"/>
          <w:ilvl w:val="1"/>
        </w:numPr>
      </w:pPr>
      <w:r>
        <w:t xml:space="preserve">Variable: coordinaciones macro interinstitucioens (e.g. consejo para la estabilidad financiera)</w:t>
      </w:r>
    </w:p>
    <w:p>
      <w:pPr>
        <w:pStyle w:val="Compact"/>
        <w:numPr>
          <w:numId w:val="1040"/>
          <w:ilvl w:val="1"/>
        </w:numPr>
      </w:pPr>
      <w:r>
        <w:t xml:space="preserve">Choque: tasas de interes, premio por riesgo, sudden stops, recesiones en socios comerciales</w:t>
      </w:r>
    </w:p>
    <w:p>
      <w:pPr>
        <w:pStyle w:val="Compact"/>
        <w:numPr>
          <w:numId w:val="1040"/>
          <w:ilvl w:val="1"/>
        </w:numPr>
      </w:pPr>
      <w:r>
        <w:t xml:space="preserve">Choque: terminos de intercambio (incrementen morosidad via disminucion del empleo o de los salarios)</w:t>
      </w:r>
    </w:p>
    <w:p>
      <w:pPr>
        <w:pStyle w:val="Compact"/>
        <w:numPr>
          <w:numId w:val="1037"/>
          <w:ilvl w:val="0"/>
        </w:numPr>
      </w:pPr>
      <w:r>
        <w:t xml:space="preserve">Fragilidad: excesiva concentracion de canasta exportadora o de destinos de exportacion</w:t>
      </w:r>
    </w:p>
    <w:p>
      <w:pPr>
        <w:pStyle w:val="Compact"/>
        <w:numPr>
          <w:numId w:val="1041"/>
          <w:ilvl w:val="1"/>
        </w:numPr>
      </w:pPr>
      <w:r>
        <w:t xml:space="preserve">Variable: Canasta exportadora y destinos</w:t>
      </w:r>
    </w:p>
    <w:p>
      <w:pPr>
        <w:pStyle w:val="Compact"/>
        <w:numPr>
          <w:numId w:val="1041"/>
          <w:ilvl w:val="1"/>
        </w:numPr>
      </w:pPr>
      <w:r>
        <w:t xml:space="preserve">Choque: shock de demanda externa (cantidad) y shock de precios de productos</w:t>
      </w:r>
    </w:p>
    <w:p>
      <w:pPr>
        <w:pStyle w:val="Compact"/>
        <w:numPr>
          <w:numId w:val="1037"/>
          <w:ilvl w:val="0"/>
        </w:numPr>
      </w:pPr>
      <w:r>
        <w:t xml:space="preserve">Fragilidad y limitacion: insuficiente monitoreo del pasivo ambiental y subdesarrollo de areas</w:t>
      </w:r>
      <w:r>
        <w:t xml:space="preserve"> </w:t>
      </w:r>
      <w:r>
        <w:t xml:space="preserve">de produccion sostenibles</w:t>
      </w:r>
    </w:p>
    <w:p>
      <w:pPr>
        <w:pStyle w:val="Compact"/>
        <w:numPr>
          <w:numId w:val="1042"/>
          <w:ilvl w:val="1"/>
        </w:numPr>
      </w:pPr>
      <w:r>
        <w:t xml:space="preserve">Variable: indice de actividad de sectores limpios o de menor huella</w:t>
      </w:r>
    </w:p>
    <w:p>
      <w:pPr>
        <w:pStyle w:val="Compact"/>
        <w:numPr>
          <w:numId w:val="1042"/>
          <w:ilvl w:val="1"/>
        </w:numPr>
      </w:pPr>
      <w:r>
        <w:t xml:space="preserve">Variable:</w:t>
      </w:r>
    </w:p>
    <w:p>
      <w:pPr>
        <w:pStyle w:val="Compact"/>
        <w:numPr>
          <w:numId w:val="1037"/>
          <w:ilvl w:val="0"/>
        </w:numPr>
      </w:pPr>
      <w:r>
        <w:t xml:space="preserve">Fragilidad y limitacion: encademamientos productivos debiles</w:t>
      </w:r>
    </w:p>
    <w:p>
      <w:pPr>
        <w:pStyle w:val="Compact"/>
        <w:numPr>
          <w:numId w:val="1043"/>
          <w:ilvl w:val="1"/>
        </w:numPr>
      </w:pPr>
      <w:r>
        <w:t xml:space="preserve">Variable: matrices de insumo producto</w:t>
      </w:r>
    </w:p>
    <w:p>
      <w:pPr>
        <w:pStyle w:val="Compact"/>
        <w:numPr>
          <w:numId w:val="1043"/>
          <w:ilvl w:val="1"/>
        </w:numPr>
      </w:pPr>
      <w:r>
        <w:t xml:space="preserve">Variable: indice de valor agregado sectorial</w:t>
      </w:r>
    </w:p>
    <w:p>
      <w:pPr>
        <w:pStyle w:val="Compact"/>
        <w:numPr>
          <w:numId w:val="1043"/>
          <w:ilvl w:val="1"/>
        </w:numPr>
      </w:pPr>
      <w:r>
        <w:t xml:space="preserve">Choque: terminos de intercambio</w:t>
      </w:r>
    </w:p>
    <w:p>
      <w:pPr>
        <w:pStyle w:val="Compact"/>
        <w:numPr>
          <w:numId w:val="1043"/>
          <w:ilvl w:val="1"/>
        </w:numPr>
      </w:pPr>
      <w:r>
        <w:t xml:space="preserve">Choque: retiro de empresas transnacionales</w:t>
      </w:r>
    </w:p>
    <w:p>
      <w:pPr>
        <w:pStyle w:val="Heading2"/>
      </w:pPr>
      <w:bookmarkStart w:id="26" w:name="determinantes-de-espacio-para-las-politicas"/>
      <w:bookmarkEnd w:id="26"/>
      <w:r>
        <w:t xml:space="preserve">Determinantes de espacio para las politicas</w:t>
      </w:r>
    </w:p>
    <w:p>
      <w:pPr>
        <w:pStyle w:val="Compact"/>
        <w:numPr>
          <w:numId w:val="1044"/>
          <w:ilvl w:val="0"/>
        </w:numPr>
      </w:pPr>
      <w:r>
        <w:t xml:space="preserve">Politica Fiscal:</w:t>
      </w:r>
    </w:p>
    <w:p>
      <w:pPr>
        <w:pStyle w:val="Compact"/>
        <w:numPr>
          <w:numId w:val="1045"/>
          <w:ilvl w:val="1"/>
        </w:numPr>
      </w:pPr>
      <w:r>
        <w:t xml:space="preserve">Categoria: Cuanto espacio hay para aumentar (dismunuir) el gasto corriente? Alto-moderado, Moderado-bajo, bajo-ninguno.</w:t>
      </w:r>
    </w:p>
    <w:p>
      <w:pPr>
        <w:pStyle w:val="Compact"/>
        <w:numPr>
          <w:numId w:val="1045"/>
          <w:ilvl w:val="1"/>
        </w:numPr>
      </w:pPr>
      <w:r>
        <w:t xml:space="preserve">Categoria: Cuanto espacio hay para aumentar (dismunuir) la inversion real? Alto-moderado, Moderado-bajo, bajo-ninguno.</w:t>
      </w:r>
    </w:p>
    <w:p>
      <w:pPr>
        <w:pStyle w:val="Compact"/>
        <w:numPr>
          <w:numId w:val="1045"/>
          <w:ilvl w:val="1"/>
        </w:numPr>
      </w:pPr>
      <w:r>
        <w:t xml:space="preserve">Existencia de reglas de balances/gastos/ahorro</w:t>
      </w:r>
    </w:p>
    <w:p>
      <w:pPr>
        <w:pStyle w:val="Compact"/>
        <w:numPr>
          <w:numId w:val="1045"/>
          <w:ilvl w:val="1"/>
        </w:numPr>
      </w:pPr>
      <w:r>
        <w:t xml:space="preserve">fondos para politicas contraciclicas</w:t>
      </w:r>
    </w:p>
    <w:p>
      <w:pPr>
        <w:pStyle w:val="Compact"/>
        <w:numPr>
          <w:numId w:val="1045"/>
          <w:ilvl w:val="1"/>
        </w:numPr>
      </w:pPr>
      <w:r>
        <w:t xml:space="preserve">Deuda acumulada, bruta y neta</w:t>
      </w:r>
    </w:p>
    <w:p>
      <w:pPr>
        <w:pStyle w:val="Compact"/>
        <w:numPr>
          <w:numId w:val="1045"/>
          <w:ilvl w:val="1"/>
        </w:numPr>
      </w:pPr>
      <w:r>
        <w:t xml:space="preserve">Monto servicio de la deuda</w:t>
      </w:r>
    </w:p>
    <w:p>
      <w:pPr>
        <w:pStyle w:val="Compact"/>
        <w:numPr>
          <w:numId w:val="1045"/>
          <w:ilvl w:val="1"/>
        </w:numPr>
      </w:pPr>
      <w:r>
        <w:t xml:space="preserve">Deficit actual y proyectado</w:t>
      </w:r>
    </w:p>
    <w:p>
      <w:pPr>
        <w:pStyle w:val="Compact"/>
        <w:numPr>
          <w:numId w:val="1045"/>
          <w:ilvl w:val="1"/>
        </w:numPr>
      </w:pPr>
      <w:r>
        <w:t xml:space="preserve">Pasivos de la seguridad social, actuales y proyectados</w:t>
      </w:r>
    </w:p>
    <w:p>
      <w:pPr>
        <w:pStyle w:val="Compact"/>
        <w:numPr>
          <w:numId w:val="1045"/>
          <w:ilvl w:val="1"/>
        </w:numPr>
      </w:pPr>
      <w:r>
        <w:t xml:space="preserve">Situacion de empresas estrategicas</w:t>
      </w:r>
    </w:p>
    <w:p>
      <w:pPr>
        <w:pStyle w:val="Compact"/>
        <w:numPr>
          <w:numId w:val="1045"/>
          <w:ilvl w:val="1"/>
        </w:numPr>
      </w:pPr>
      <w:r>
        <w:t xml:space="preserve">Efectividad de la recaudacion (control de elusion y evasion)</w:t>
      </w:r>
    </w:p>
    <w:p>
      <w:pPr>
        <w:pStyle w:val="Compact"/>
        <w:numPr>
          <w:numId w:val="1044"/>
          <w:ilvl w:val="0"/>
        </w:numPr>
      </w:pPr>
      <w:r>
        <w:t xml:space="preserve">Politica Monetaria</w:t>
      </w:r>
    </w:p>
    <w:p>
      <w:pPr>
        <w:pStyle w:val="Compact"/>
        <w:numPr>
          <w:numId w:val="1046"/>
          <w:ilvl w:val="1"/>
        </w:numPr>
      </w:pPr>
      <w:r>
        <w:t xml:space="preserve">Categoria: Cuanto espacio hay para aumentar (dismunuir) la liquidez? Alto-moderado, Moderado-bajo, bajo-ninguno.</w:t>
      </w:r>
    </w:p>
    <w:p>
      <w:pPr>
        <w:numPr>
          <w:numId w:val="1046"/>
          <w:ilvl w:val="1"/>
        </w:numPr>
      </w:pPr>
      <w:r>
        <w:t xml:space="preserve">Categoria: Cuanto espacio hay para intervenir el tipo de cambio? Alto-moderado, Moderado-bajo, bajo-ninguno.</w:t>
      </w:r>
    </w:p>
    <w:p>
      <w:pPr>
        <w:pStyle w:val="Compact"/>
        <w:numPr>
          <w:numId w:val="1046"/>
          <w:ilvl w:val="1"/>
        </w:numPr>
      </w:pPr>
      <w:r>
        <w:t xml:space="preserve">Variable: Existencia de metas de inflacion</w:t>
      </w:r>
    </w:p>
    <w:p>
      <w:pPr>
        <w:pStyle w:val="Compact"/>
        <w:numPr>
          <w:numId w:val="1046"/>
          <w:ilvl w:val="1"/>
        </w:numPr>
      </w:pPr>
      <w:r>
        <w:t xml:space="preserve">Variable: Nivel y tedencia de inflacion e inflacion subyacente</w:t>
      </w:r>
    </w:p>
    <w:p>
      <w:pPr>
        <w:pStyle w:val="Compact"/>
        <w:numPr>
          <w:numId w:val="1046"/>
          <w:ilvl w:val="1"/>
        </w:numPr>
      </w:pPr>
      <w:r>
        <w:t xml:space="preserve">Variable: Instrumento de poltica</w:t>
      </w:r>
    </w:p>
    <w:p>
      <w:pPr>
        <w:pStyle w:val="Compact"/>
        <w:numPr>
          <w:numId w:val="1046"/>
          <w:ilvl w:val="1"/>
        </w:numPr>
      </w:pPr>
      <w:r>
        <w:t xml:space="preserve">Variable: Profundidad financiera del sistema</w:t>
      </w:r>
    </w:p>
    <w:p>
      <w:pPr>
        <w:pStyle w:val="Compact"/>
        <w:numPr>
          <w:numId w:val="1046"/>
          <w:ilvl w:val="1"/>
        </w:numPr>
      </w:pPr>
      <w:r>
        <w:t xml:space="preserve">Variable: Regimen cambiario</w:t>
      </w:r>
    </w:p>
    <w:p>
      <w:pPr>
        <w:numPr>
          <w:numId w:val="1046"/>
          <w:ilvl w:val="1"/>
        </w:numPr>
      </w:pPr>
      <w:r>
        <w:t xml:space="preserve">Variable: Reservas internacionales</w:t>
      </w:r>
    </w:p>
    <w:p>
      <w:pPr>
        <w:numPr>
          <w:numId w:val="1044"/>
          <w:ilvl w:val="0"/>
        </w:numPr>
      </w:pPr>
      <w:r>
        <w:t xml:space="preserve">Politica Comercial</w:t>
      </w:r>
    </w:p>
    <w:p>
      <w:pPr>
        <w:numPr>
          <w:numId w:val="1044"/>
          <w:ilvl w:val="0"/>
        </w:numPr>
      </w:pPr>
      <w:r>
        <w:t xml:space="preserve">Politica Micro</w:t>
      </w:r>
    </w:p>
    <w:p>
      <w:pPr>
        <w:numPr>
          <w:numId w:val="1044"/>
          <w:ilvl w:val="0"/>
        </w:numPr>
      </w:pPr>
      <w:r>
        <w:t xml:space="preserve">Politica Social</w:t>
      </w:r>
    </w:p>
    <w:p>
      <w:pPr>
        <w:pStyle w:val="Heading2"/>
      </w:pPr>
      <w:bookmarkStart w:id="27" w:name="sintesis"/>
      <w:bookmarkEnd w:id="27"/>
      <w:r>
        <w:t xml:space="preserve">Sintesis</w:t>
      </w:r>
    </w:p>
    <w:p>
      <w:pPr>
        <w:pStyle w:val="FirstParagraph"/>
      </w:pPr>
      <w:r>
        <w:t xml:space="preserve">espacio fiscal, espacio monetario, concentracion de canasta, concentracio de destino, composicion del empleo</w:t>
      </w:r>
    </w:p>
    <w:p>
      <w:pPr>
        <w:pStyle w:val="Compact"/>
        <w:numPr>
          <w:numId w:val="1047"/>
          <w:ilvl w:val="0"/>
        </w:numPr>
      </w:pPr>
      <w:r>
        <w:t xml:space="preserve">Dimension de politicas:</w:t>
      </w:r>
    </w:p>
    <w:p>
      <w:pPr>
        <w:pStyle w:val="Compact"/>
        <w:numPr>
          <w:numId w:val="1048"/>
          <w:ilvl w:val="1"/>
        </w:numPr>
      </w:pPr>
      <w:r>
        <w:t xml:space="preserve">Plena capacidad para responder</w:t>
      </w:r>
    </w:p>
    <w:p>
      <w:pPr>
        <w:pStyle w:val="Compact"/>
        <w:numPr>
          <w:numId w:val="1048"/>
          <w:ilvl w:val="1"/>
        </w:numPr>
      </w:pPr>
      <w:r>
        <w:t xml:space="preserve">Libertad en una dimension (e.g. monetaria) y restriccion en la otra (fiscal)</w:t>
      </w:r>
    </w:p>
    <w:p>
      <w:pPr>
        <w:pStyle w:val="Compact"/>
        <w:numPr>
          <w:numId w:val="1048"/>
          <w:ilvl w:val="1"/>
        </w:numPr>
      </w:pPr>
      <w:r>
        <w:t xml:space="preserve">Restriccion en ambas dimensiones</w:t>
      </w:r>
    </w:p>
    <w:p>
      <w:pPr>
        <w:pStyle w:val="Compact"/>
        <w:numPr>
          <w:numId w:val="1047"/>
          <w:ilvl w:val="0"/>
        </w:numPr>
      </w:pPr>
      <w:r>
        <w:t xml:space="preserve">Dimension estructural: (agrupar en 3 )</w:t>
      </w:r>
    </w:p>
    <w:p>
      <w:pPr>
        <w:pStyle w:val="Compact"/>
        <w:numPr>
          <w:numId w:val="1049"/>
          <w:ilvl w:val="1"/>
        </w:numPr>
      </w:pPr>
      <w:r>
        <w:t xml:space="preserve">Desequilibrio grave, alta vulnerabilidad, crisis en curso</w:t>
      </w:r>
    </w:p>
    <w:p>
      <w:pPr>
        <w:pStyle w:val="Compact"/>
        <w:numPr>
          <w:numId w:val="1049"/>
          <w:ilvl w:val="1"/>
        </w:numPr>
      </w:pPr>
      <w:r>
        <w:t xml:space="preserve">Desequilibrio grave, alta vulnerabilidad, crisis en ciernes</w:t>
      </w:r>
    </w:p>
    <w:p>
      <w:pPr>
        <w:pStyle w:val="Compact"/>
        <w:numPr>
          <w:numId w:val="1049"/>
          <w:ilvl w:val="1"/>
        </w:numPr>
      </w:pPr>
      <w:r>
        <w:t xml:space="preserve">Desequilibrio grave, media vulnerabilidad, crisis en ciernes</w:t>
      </w:r>
    </w:p>
    <w:p>
      <w:pPr>
        <w:pStyle w:val="Compact"/>
        <w:numPr>
          <w:numId w:val="1049"/>
          <w:ilvl w:val="1"/>
        </w:numPr>
      </w:pPr>
      <w:r>
        <w:t xml:space="preserve">Desequilibrio medio, alta vulnerabilidad, crisis en ciernes</w:t>
      </w:r>
    </w:p>
    <w:p>
      <w:pPr>
        <w:pStyle w:val="Compact"/>
        <w:numPr>
          <w:numId w:val="1049"/>
          <w:ilvl w:val="1"/>
        </w:numPr>
      </w:pPr>
      <w:r>
        <w:t xml:space="preserve">Desequilibrio medio, media vulnerabilidad, crisis en ciernes</w:t>
      </w:r>
    </w:p>
    <w:p>
      <w:pPr>
        <w:pStyle w:val="Compact"/>
        <w:numPr>
          <w:numId w:val="1049"/>
          <w:ilvl w:val="1"/>
        </w:numPr>
      </w:pPr>
      <w:r>
        <w:t xml:space="preserve">Desequilibrio medio, media vulnerabilidad, crisis probable</w:t>
      </w:r>
    </w:p>
    <w:p>
      <w:pPr>
        <w:pStyle w:val="Compact"/>
        <w:numPr>
          <w:numId w:val="1049"/>
          <w:ilvl w:val="1"/>
        </w:numPr>
      </w:pPr>
      <w:r>
        <w:t xml:space="preserve">Desequilibrio medio, baja vulnerabilidad, crisis improbable</w:t>
      </w:r>
    </w:p>
    <w:p>
      <w:pPr>
        <w:pStyle w:val="Compact"/>
        <w:numPr>
          <w:numId w:val="1049"/>
          <w:ilvl w:val="1"/>
        </w:numPr>
      </w:pPr>
      <w:r>
        <w:t xml:space="preserve">Desequilibrio bajo, alta vulnerabilidad, crisis probable</w:t>
      </w:r>
    </w:p>
    <w:p>
      <w:pPr>
        <w:pStyle w:val="Compact"/>
        <w:numPr>
          <w:numId w:val="1049"/>
          <w:ilvl w:val="1"/>
        </w:numPr>
      </w:pPr>
      <w:r>
        <w:t xml:space="preserve">Desequilibrio bajo, media vulnerabilidad, crisis improbable</w:t>
      </w:r>
    </w:p>
    <w:p>
      <w:pPr>
        <w:pStyle w:val="Compact"/>
        <w:numPr>
          <w:numId w:val="1049"/>
          <w:ilvl w:val="1"/>
        </w:numPr>
      </w:pPr>
      <w:r>
        <w:t xml:space="preserve">Desequilibrio bajo, baja vulnerabilidad, crisis improbable</w:t>
      </w:r>
    </w:p>
    <w:p>
      <w:pPr>
        <w:pStyle w:val="Compact"/>
        <w:numPr>
          <w:numId w:val="1047"/>
          <w:ilvl w:val="0"/>
        </w:numPr>
      </w:pPr>
      <w:r>
        <w:t xml:space="preserve">Choques:</w:t>
      </w:r>
    </w:p>
    <w:p>
      <w:pPr>
        <w:pStyle w:val="Compact"/>
        <w:numPr>
          <w:numId w:val="1050"/>
          <w:ilvl w:val="1"/>
        </w:numPr>
      </w:pPr>
      <w:r>
        <w:t xml:space="preserve">de precios externos</w:t>
      </w:r>
    </w:p>
    <w:p>
      <w:pPr>
        <w:pStyle w:val="Compact"/>
        <w:numPr>
          <w:numId w:val="1050"/>
          <w:ilvl w:val="1"/>
        </w:numPr>
      </w:pPr>
      <w:r>
        <w:t xml:space="preserve">de salida de capitales</w:t>
      </w:r>
    </w:p>
    <w:p>
      <w:pPr>
        <w:pStyle w:val="Compact"/>
        <w:numPr>
          <w:numId w:val="1050"/>
          <w:ilvl w:val="1"/>
        </w:numPr>
      </w:pPr>
      <w:r>
        <w:t xml:space="preserve">de demanda externa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691b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4291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33aa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e5e19b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aabfad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categorias</dc:title>
  <dc:creator>Ricardo Mayer</dc:creator>
  <dcterms:created xsi:type="dcterms:W3CDTF">2016-12-30T16:25:01Z</dcterms:created>
  <dcterms:modified xsi:type="dcterms:W3CDTF">2016-12-30T16:25:01Z</dcterms:modified>
</cp:coreProperties>
</file>