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list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Mayer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17,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fiscal"/>
      <w:bookmarkEnd w:id="21"/>
      <w:r>
        <w:t xml:space="preserve">Fiscal</w:t>
      </w:r>
    </w:p>
    <w:p>
      <w:pPr>
        <w:pStyle w:val="Heading3"/>
      </w:pPr>
      <w:bookmarkStart w:id="22" w:name="unidades-de-analisis"/>
      <w:bookmarkEnd w:id="22"/>
      <w:r>
        <w:t xml:space="preserve">Unidades de análisis</w:t>
      </w:r>
    </w:p>
    <w:p>
      <w:pPr>
        <w:pStyle w:val="FirstParagraph"/>
      </w:pPr>
      <w:r>
        <w:t xml:space="preserve">Buscar hasta donde sea posible información a nivel deÑ</w:t>
      </w:r>
    </w:p>
    <w:p>
      <w:pPr>
        <w:pStyle w:val="Compact"/>
        <w:numPr>
          <w:numId w:val="1001"/>
          <w:ilvl w:val="0"/>
        </w:numPr>
      </w:pPr>
      <w:r>
        <w:t xml:space="preserve">Gobierno central</w:t>
      </w:r>
    </w:p>
    <w:p>
      <w:pPr>
        <w:pStyle w:val="Compact"/>
        <w:numPr>
          <w:numId w:val="1001"/>
          <w:ilvl w:val="0"/>
        </w:numPr>
      </w:pPr>
      <w:r>
        <w:t xml:space="preserve">Gobierno general</w:t>
      </w:r>
    </w:p>
    <w:p>
      <w:pPr>
        <w:pStyle w:val="Compact"/>
        <w:numPr>
          <w:numId w:val="1001"/>
          <w:ilvl w:val="0"/>
        </w:numPr>
      </w:pPr>
      <w:r>
        <w:t xml:space="preserve">Empresas públicas (listadas o no en la información del sector público)</w:t>
      </w:r>
    </w:p>
    <w:p>
      <w:pPr>
        <w:pStyle w:val="Heading3"/>
      </w:pPr>
      <w:bookmarkStart w:id="23" w:name="variables"/>
      <w:bookmarkEnd w:id="23"/>
      <w:r>
        <w:t xml:space="preserve">Variables</w:t>
      </w:r>
    </w:p>
    <w:p>
      <w:pPr>
        <w:numPr>
          <w:numId w:val="1002"/>
          <w:ilvl w:val="0"/>
        </w:numPr>
      </w:pPr>
      <w:r>
        <w:t xml:space="preserve">Deuda total, corto versus largo plazo, moneda local vs. moneda extranjera, fuente local vs. externa</w:t>
      </w:r>
    </w:p>
    <w:p>
      <w:pPr>
        <w:numPr>
          <w:numId w:val="1002"/>
          <w:ilvl w:val="0"/>
        </w:numPr>
      </w:pPr>
      <w:r>
        <w:t xml:space="preserve">Resultados (déficit, superávit, primarios y finales)</w:t>
      </w:r>
    </w:p>
    <w:p>
      <w:pPr>
        <w:pStyle w:val="Compact"/>
        <w:numPr>
          <w:numId w:val="1002"/>
          <w:ilvl w:val="0"/>
        </w:numPr>
      </w:pPr>
      <w:r>
        <w:t xml:space="preserve">Composición del gasto:</w:t>
      </w:r>
    </w:p>
    <w:p>
      <w:pPr>
        <w:pStyle w:val="Compact"/>
        <w:numPr>
          <w:numId w:val="1003"/>
          <w:ilvl w:val="1"/>
        </w:numPr>
      </w:pPr>
      <w:r>
        <w:t xml:space="preserve">Gasto corriente</w:t>
      </w:r>
    </w:p>
    <w:p>
      <w:pPr>
        <w:pStyle w:val="Compact"/>
        <w:numPr>
          <w:numId w:val="1003"/>
          <w:ilvl w:val="1"/>
        </w:numPr>
      </w:pPr>
      <w:r>
        <w:t xml:space="preserve">Inversión</w:t>
      </w:r>
    </w:p>
    <w:p>
      <w:pPr>
        <w:pStyle w:val="Compact"/>
        <w:numPr>
          <w:numId w:val="1003"/>
          <w:ilvl w:val="1"/>
        </w:numPr>
      </w:pPr>
      <w:r>
        <w:t xml:space="preserve">Servicio de la deuda extranjera y doméstica</w:t>
      </w:r>
    </w:p>
    <w:p>
      <w:pPr>
        <w:pStyle w:val="Compact"/>
        <w:numPr>
          <w:numId w:val="1003"/>
          <w:ilvl w:val="1"/>
        </w:numPr>
      </w:pPr>
      <w:r>
        <w:t xml:space="preserve">Pensiones y otras transferencias</w:t>
      </w:r>
    </w:p>
    <w:p>
      <w:pPr>
        <w:pStyle w:val="Compact"/>
        <w:numPr>
          <w:numId w:val="1003"/>
          <w:ilvl w:val="1"/>
        </w:numPr>
      </w:pPr>
      <w:r>
        <w:t xml:space="preserve">Alternativamente, sólo gasto vs inversión</w:t>
      </w:r>
    </w:p>
    <w:p>
      <w:pPr>
        <w:pStyle w:val="Heading2"/>
      </w:pPr>
      <w:bookmarkStart w:id="24" w:name="monetaria"/>
      <w:bookmarkEnd w:id="24"/>
      <w:r>
        <w:t xml:space="preserve">Monetaria</w:t>
      </w:r>
    </w:p>
    <w:p>
      <w:pPr>
        <w:pStyle w:val="Heading3"/>
      </w:pPr>
      <w:bookmarkStart w:id="25" w:name="unidades-de-analisis-1"/>
      <w:bookmarkEnd w:id="25"/>
      <w:r>
        <w:t xml:space="preserve">Unidades de análisis</w:t>
      </w:r>
    </w:p>
    <w:p>
      <w:pPr>
        <w:pStyle w:val="FirstParagraph"/>
      </w:pPr>
      <w:r>
        <w:t xml:space="preserve">Buscar hasta donde sea posible información a nivel de</w:t>
      </w:r>
      <w:r>
        <w:t xml:space="preserve"> </w:t>
      </w:r>
      <w:r>
        <w:t xml:space="preserve">+ Banco Central</w:t>
      </w:r>
    </w:p>
    <w:p>
      <w:pPr>
        <w:pStyle w:val="Heading3"/>
      </w:pPr>
      <w:bookmarkStart w:id="26" w:name="variables-1"/>
      <w:bookmarkEnd w:id="26"/>
      <w:r>
        <w:t xml:space="preserve">Variables</w:t>
      </w:r>
    </w:p>
    <w:p>
      <w:pPr>
        <w:numPr>
          <w:numId w:val="1004"/>
          <w:ilvl w:val="0"/>
        </w:numPr>
      </w:pPr>
      <w:r>
        <w:t xml:space="preserve">Reservas internacionales</w:t>
      </w:r>
    </w:p>
    <w:p>
      <w:pPr>
        <w:numPr>
          <w:numId w:val="1004"/>
          <w:ilvl w:val="0"/>
        </w:numPr>
      </w:pPr>
      <w:r>
        <w:t xml:space="preserve">Tasa de interés de política o target relevante de política monetaria (puede ser un agregado monetario)</w:t>
      </w:r>
    </w:p>
    <w:p>
      <w:pPr>
        <w:numPr>
          <w:numId w:val="1004"/>
          <w:ilvl w:val="0"/>
        </w:numPr>
      </w:pPr>
      <w:r>
        <w:t xml:space="preserve">Meta inflacionaria si la hay</w:t>
      </w:r>
    </w:p>
    <w:p>
      <w:pPr>
        <w:numPr>
          <w:numId w:val="1004"/>
          <w:ilvl w:val="0"/>
        </w:numPr>
      </w:pPr>
      <w:r>
        <w:t xml:space="preserve">Inflación</w:t>
      </w:r>
    </w:p>
    <w:p>
      <w:pPr>
        <w:pStyle w:val="Compact"/>
        <w:numPr>
          <w:numId w:val="1004"/>
          <w:ilvl w:val="0"/>
        </w:numPr>
      </w:pPr>
      <w:r>
        <w:t xml:space="preserve">Tipo de cambio:</w:t>
      </w:r>
    </w:p>
    <w:p>
      <w:pPr>
        <w:pStyle w:val="Compact"/>
        <w:numPr>
          <w:numId w:val="1005"/>
          <w:ilvl w:val="1"/>
        </w:numPr>
      </w:pPr>
      <w:r>
        <w:t xml:space="preserve">Régimen cambiario (dolarizado, flexible, manejado, fijo)</w:t>
      </w:r>
    </w:p>
    <w:p>
      <w:pPr>
        <w:pStyle w:val="Compact"/>
        <w:numPr>
          <w:numId w:val="1005"/>
          <w:ilvl w:val="1"/>
        </w:numPr>
      </w:pPr>
      <w:r>
        <w:t xml:space="preserve">Tipos de cambio nominal</w:t>
      </w:r>
    </w:p>
    <w:p>
      <w:pPr>
        <w:pStyle w:val="Compact"/>
        <w:numPr>
          <w:numId w:val="1005"/>
          <w:ilvl w:val="1"/>
        </w:numPr>
      </w:pPr>
      <w:r>
        <w:t xml:space="preserve">Tipos de cambio real</w:t>
      </w:r>
    </w:p>
    <w:p>
      <w:pPr>
        <w:pStyle w:val="Heading2"/>
      </w:pPr>
      <w:bookmarkStart w:id="27" w:name="sistema-financiero"/>
      <w:bookmarkEnd w:id="27"/>
      <w:r>
        <w:t xml:space="preserve">Sistema Financiero</w:t>
      </w:r>
    </w:p>
    <w:p>
      <w:pPr>
        <w:pStyle w:val="Heading3"/>
      </w:pPr>
      <w:bookmarkStart w:id="28" w:name="unidades-de-analisis-2"/>
      <w:bookmarkEnd w:id="28"/>
      <w:r>
        <w:t xml:space="preserve">Unidades de análisis</w:t>
      </w:r>
    </w:p>
    <w:p>
      <w:pPr>
        <w:pStyle w:val="Compact"/>
        <w:numPr>
          <w:numId w:val="1006"/>
          <w:ilvl w:val="0"/>
        </w:numPr>
      </w:pPr>
      <w:r>
        <w:t xml:space="preserve">Bancos e instituciones financieras</w:t>
      </w:r>
    </w:p>
    <w:p>
      <w:pPr>
        <w:pStyle w:val="Heading3"/>
      </w:pPr>
      <w:bookmarkStart w:id="29" w:name="variables-2"/>
      <w:bookmarkEnd w:id="29"/>
      <w:r>
        <w:t xml:space="preserve">Variables</w:t>
      </w:r>
    </w:p>
    <w:p>
      <w:pPr>
        <w:numPr>
          <w:numId w:val="1007"/>
          <w:ilvl w:val="0"/>
        </w:numPr>
      </w:pPr>
      <w:r>
        <w:t xml:space="preserve">Deuda, doméstica y externa de los bancos e instituciones similares. Corto y largo plazo. (Bank liabilities)</w:t>
      </w:r>
    </w:p>
    <w:p>
      <w:pPr>
        <w:numPr>
          <w:numId w:val="1007"/>
          <w:ilvl w:val="0"/>
        </w:numPr>
      </w:pPr>
      <w:r>
        <w:t xml:space="preserve">Préstamos e inversiones, domésticas y externas de los bancos e instituciones similares. Corto y largo plazo. (Bank assets)</w:t>
      </w:r>
    </w:p>
    <w:p>
      <w:pPr>
        <w:numPr>
          <w:numId w:val="1007"/>
          <w:ilvl w:val="0"/>
        </w:numPr>
      </w:pPr>
      <w:r>
        <w:t xml:space="preserve">Non-performing loans and delinquecy rates</w:t>
      </w:r>
    </w:p>
    <w:p>
      <w:pPr>
        <w:numPr>
          <w:numId w:val="1007"/>
          <w:ilvl w:val="0"/>
        </w:numPr>
      </w:pPr>
      <w:r>
        <w:t xml:space="preserve">Reservas de capital</w:t>
      </w:r>
    </w:p>
    <w:p>
      <w:pPr>
        <w:numPr>
          <w:numId w:val="1007"/>
          <w:ilvl w:val="0"/>
        </w:numPr>
      </w:pPr>
      <w:r>
        <w:t xml:space="preserve">Implementación de políticas macro prudenciales: Have they implemented Basilea I, II or III? Have gone beyond B III?</w:t>
      </w:r>
    </w:p>
    <w:p>
      <w:pPr>
        <w:pStyle w:val="Heading2"/>
      </w:pPr>
      <w:bookmarkStart w:id="30" w:name="hogares"/>
      <w:bookmarkEnd w:id="30"/>
      <w:r>
        <w:t xml:space="preserve">Hogares</w:t>
      </w:r>
    </w:p>
    <w:p>
      <w:pPr>
        <w:pStyle w:val="Heading3"/>
      </w:pPr>
      <w:bookmarkStart w:id="31" w:name="variables-3"/>
      <w:bookmarkEnd w:id="31"/>
      <w:r>
        <w:t xml:space="preserve">Variables</w:t>
      </w:r>
    </w:p>
    <w:p>
      <w:pPr>
        <w:numPr>
          <w:numId w:val="1008"/>
          <w:ilvl w:val="0"/>
        </w:numPr>
      </w:pPr>
      <w:r>
        <w:t xml:space="preserve">Empleo, desempleo, subempleo, cuenta propia (self-employed)</w:t>
      </w:r>
    </w:p>
    <w:p>
      <w:pPr>
        <w:numPr>
          <w:numId w:val="1008"/>
          <w:ilvl w:val="0"/>
        </w:numPr>
      </w:pPr>
      <w:r>
        <w:t xml:space="preserve">Carga finaciera</w:t>
      </w:r>
    </w:p>
    <w:p>
      <w:pPr>
        <w:numPr>
          <w:numId w:val="1008"/>
          <w:ilvl w:val="0"/>
        </w:numPr>
      </w:pPr>
      <w:r>
        <w:t xml:space="preserve">Morosidad</w:t>
      </w:r>
    </w:p>
    <w:p>
      <w:pPr>
        <w:pStyle w:val="Heading2"/>
      </w:pPr>
      <w:bookmarkStart w:id="32" w:name="sector-externo"/>
      <w:bookmarkEnd w:id="32"/>
      <w:r>
        <w:t xml:space="preserve">Sector externo</w:t>
      </w:r>
    </w:p>
    <w:p>
      <w:pPr>
        <w:pStyle w:val="Heading3"/>
      </w:pPr>
      <w:bookmarkStart w:id="33" w:name="variables-4"/>
      <w:bookmarkEnd w:id="33"/>
      <w:r>
        <w:t xml:space="preserve">Variables</w:t>
      </w:r>
    </w:p>
    <w:p>
      <w:pPr>
        <w:numPr>
          <w:numId w:val="1009"/>
          <w:ilvl w:val="0"/>
        </w:numPr>
      </w:pPr>
      <w:r>
        <w:t xml:space="preserve">Exportaciones totales, por producto y por destino</w:t>
      </w:r>
    </w:p>
    <w:p>
      <w:pPr>
        <w:numPr>
          <w:numId w:val="1009"/>
          <w:ilvl w:val="0"/>
        </w:numPr>
      </w:pPr>
      <w:r>
        <w:t xml:space="preserve">Importaciones totales, por producto y por destino</w:t>
      </w:r>
    </w:p>
    <w:p>
      <w:pPr>
        <w:numPr>
          <w:numId w:val="1009"/>
          <w:ilvl w:val="0"/>
        </w:numPr>
      </w:pPr>
      <w:r>
        <w:t xml:space="preserve">Transferencias and remittances</w:t>
      </w:r>
    </w:p>
    <w:p>
      <w:pPr>
        <w:numPr>
          <w:numId w:val="1009"/>
          <w:ilvl w:val="0"/>
        </w:numPr>
      </w:pPr>
      <w:r>
        <w:t xml:space="preserve">Resultado cuenta corriente y cuenta financiera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242b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59ec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list</dc:title>
  <dc:creator>Ricardo Mayer</dc:creator>
  <dcterms:created xsi:type="dcterms:W3CDTF">2017-01-17T15:55:23Z</dcterms:created>
  <dcterms:modified xsi:type="dcterms:W3CDTF">2017-01-17T15:55:23Z</dcterms:modified>
</cp:coreProperties>
</file>