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D92" w:rsidRPr="00F47DD2" w:rsidRDefault="00F66D92" w:rsidP="00F66D92">
      <w:pPr>
        <w:rPr>
          <w:i/>
        </w:rPr>
      </w:pPr>
      <w:r>
        <w:rPr>
          <w:b/>
        </w:rPr>
        <w:t xml:space="preserve">Table 1 </w:t>
      </w:r>
      <w:r>
        <w:rPr>
          <w:i/>
        </w:rPr>
        <w:t>extreme episode in total net flows, total gross inflows and total gross outflows</w:t>
      </w:r>
    </w:p>
    <w:tbl>
      <w:tblPr>
        <w:tblW w:w="14130" w:type="dxa"/>
        <w:tblInd w:w="-72" w:type="dxa"/>
        <w:tblLayout w:type="fixed"/>
        <w:tblLook w:val="04A0"/>
      </w:tblPr>
      <w:tblGrid>
        <w:gridCol w:w="990"/>
        <w:gridCol w:w="1800"/>
        <w:gridCol w:w="1620"/>
        <w:gridCol w:w="1620"/>
        <w:gridCol w:w="1530"/>
        <w:gridCol w:w="3150"/>
        <w:gridCol w:w="3420"/>
      </w:tblGrid>
      <w:tr w:rsidR="00C5410F" w:rsidTr="0014310E">
        <w:trPr>
          <w:trHeight w:val="377"/>
        </w:trPr>
        <w:tc>
          <w:tcPr>
            <w:tcW w:w="990" w:type="dxa"/>
            <w:tcBorders>
              <w:top w:val="single" w:sz="4" w:space="0" w:color="000000"/>
              <w:left w:val="single" w:sz="4" w:space="0" w:color="auto"/>
              <w:bottom w:val="single" w:sz="4" w:space="0" w:color="000000"/>
              <w:right w:val="nil"/>
            </w:tcBorders>
            <w:vAlign w:val="bottom"/>
            <w:hideMark/>
          </w:tcPr>
          <w:p w:rsidR="00F66D92" w:rsidRPr="0014310E" w:rsidRDefault="00F66D92" w:rsidP="00BD753C">
            <w:pPr>
              <w:spacing w:after="0" w:line="240" w:lineRule="auto"/>
              <w:rPr>
                <w:rFonts w:ascii="Calibri" w:eastAsia="Times New Roman" w:hAnsi="Calibri" w:cs="Times New Roman"/>
                <w:b/>
                <w:bCs/>
                <w:color w:val="000000"/>
                <w:sz w:val="16"/>
                <w:szCs w:val="16"/>
              </w:rPr>
            </w:pPr>
            <w:r w:rsidRPr="0014310E">
              <w:rPr>
                <w:rFonts w:ascii="Calibri" w:eastAsia="Times New Roman" w:hAnsi="Calibri" w:cs="Times New Roman"/>
                <w:b/>
                <w:bCs/>
                <w:color w:val="000000"/>
                <w:sz w:val="16"/>
                <w:szCs w:val="16"/>
              </w:rPr>
              <w:t>Country</w:t>
            </w:r>
          </w:p>
        </w:tc>
        <w:tc>
          <w:tcPr>
            <w:tcW w:w="1800" w:type="dxa"/>
            <w:tcBorders>
              <w:top w:val="single" w:sz="4" w:space="0" w:color="000000"/>
              <w:left w:val="single" w:sz="4" w:space="0" w:color="auto"/>
              <w:bottom w:val="single" w:sz="4" w:space="0" w:color="000000"/>
              <w:right w:val="nil"/>
            </w:tcBorders>
            <w:vAlign w:val="bottom"/>
            <w:hideMark/>
          </w:tcPr>
          <w:p w:rsidR="00F66D92" w:rsidRPr="0014310E" w:rsidRDefault="00F66D92" w:rsidP="00BD753C">
            <w:pPr>
              <w:spacing w:after="0" w:line="240" w:lineRule="auto"/>
              <w:jc w:val="center"/>
              <w:rPr>
                <w:rFonts w:ascii="Calibri" w:eastAsia="Times New Roman" w:hAnsi="Calibri" w:cs="Times New Roman"/>
                <w:b/>
                <w:bCs/>
                <w:color w:val="000000"/>
                <w:sz w:val="16"/>
                <w:szCs w:val="16"/>
              </w:rPr>
            </w:pPr>
            <w:r w:rsidRPr="0014310E">
              <w:rPr>
                <w:rFonts w:ascii="Calibri" w:eastAsia="Times New Roman" w:hAnsi="Calibri" w:cs="Times New Roman"/>
                <w:b/>
                <w:bCs/>
                <w:color w:val="000000"/>
                <w:sz w:val="16"/>
                <w:szCs w:val="16"/>
              </w:rPr>
              <w:t>True Surges</w:t>
            </w:r>
          </w:p>
        </w:tc>
        <w:tc>
          <w:tcPr>
            <w:tcW w:w="1620" w:type="dxa"/>
            <w:tcBorders>
              <w:top w:val="single" w:sz="4" w:space="0" w:color="000000"/>
              <w:left w:val="nil"/>
              <w:bottom w:val="single" w:sz="4" w:space="0" w:color="000000"/>
              <w:right w:val="nil"/>
            </w:tcBorders>
            <w:vAlign w:val="bottom"/>
            <w:hideMark/>
          </w:tcPr>
          <w:p w:rsidR="00F66D92" w:rsidRPr="0014310E" w:rsidRDefault="00F66D92" w:rsidP="00BD753C">
            <w:pPr>
              <w:spacing w:after="0" w:line="240" w:lineRule="auto"/>
              <w:jc w:val="center"/>
              <w:rPr>
                <w:rFonts w:ascii="Calibri" w:eastAsia="Times New Roman" w:hAnsi="Calibri" w:cs="Times New Roman"/>
                <w:b/>
                <w:bCs/>
                <w:color w:val="000000"/>
                <w:sz w:val="16"/>
                <w:szCs w:val="16"/>
              </w:rPr>
            </w:pPr>
            <w:r w:rsidRPr="0014310E">
              <w:rPr>
                <w:rFonts w:ascii="Calibri" w:eastAsia="Times New Roman" w:hAnsi="Calibri" w:cs="Times New Roman"/>
                <w:b/>
                <w:bCs/>
                <w:color w:val="000000"/>
                <w:sz w:val="16"/>
                <w:szCs w:val="16"/>
              </w:rPr>
              <w:t>True Sudden Stops</w:t>
            </w:r>
          </w:p>
        </w:tc>
        <w:tc>
          <w:tcPr>
            <w:tcW w:w="1620" w:type="dxa"/>
            <w:tcBorders>
              <w:top w:val="single" w:sz="4" w:space="0" w:color="000000"/>
              <w:left w:val="single" w:sz="4" w:space="0" w:color="auto"/>
              <w:bottom w:val="single" w:sz="4" w:space="0" w:color="000000"/>
              <w:right w:val="nil"/>
            </w:tcBorders>
            <w:vAlign w:val="bottom"/>
            <w:hideMark/>
          </w:tcPr>
          <w:p w:rsidR="00F66D92" w:rsidRPr="0014310E" w:rsidRDefault="00F66D92" w:rsidP="00BD753C">
            <w:pPr>
              <w:spacing w:after="0" w:line="240" w:lineRule="auto"/>
              <w:jc w:val="center"/>
              <w:rPr>
                <w:rFonts w:ascii="Calibri" w:eastAsia="Times New Roman" w:hAnsi="Calibri" w:cs="Times New Roman"/>
                <w:b/>
                <w:bCs/>
                <w:color w:val="000000"/>
                <w:sz w:val="16"/>
                <w:szCs w:val="16"/>
              </w:rPr>
            </w:pPr>
            <w:r w:rsidRPr="0014310E">
              <w:rPr>
                <w:rFonts w:ascii="Calibri" w:eastAsia="Times New Roman" w:hAnsi="Calibri" w:cs="Times New Roman"/>
                <w:b/>
                <w:bCs/>
                <w:color w:val="000000"/>
                <w:sz w:val="16"/>
                <w:szCs w:val="16"/>
              </w:rPr>
              <w:t>Flight</w:t>
            </w:r>
          </w:p>
        </w:tc>
        <w:tc>
          <w:tcPr>
            <w:tcW w:w="1530" w:type="dxa"/>
            <w:tcBorders>
              <w:top w:val="single" w:sz="4" w:space="0" w:color="000000"/>
              <w:left w:val="nil"/>
              <w:bottom w:val="single" w:sz="4" w:space="0" w:color="000000"/>
              <w:right w:val="single" w:sz="4" w:space="0" w:color="auto"/>
            </w:tcBorders>
            <w:vAlign w:val="bottom"/>
            <w:hideMark/>
          </w:tcPr>
          <w:p w:rsidR="00F66D92" w:rsidRPr="0014310E" w:rsidRDefault="00F66D92" w:rsidP="00BD753C">
            <w:pPr>
              <w:spacing w:after="0" w:line="240" w:lineRule="auto"/>
              <w:jc w:val="center"/>
              <w:rPr>
                <w:rFonts w:ascii="Calibri" w:eastAsia="Times New Roman" w:hAnsi="Calibri" w:cs="Times New Roman"/>
                <w:b/>
                <w:bCs/>
                <w:color w:val="000000"/>
                <w:sz w:val="16"/>
                <w:szCs w:val="16"/>
              </w:rPr>
            </w:pPr>
            <w:r w:rsidRPr="0014310E">
              <w:rPr>
                <w:rFonts w:ascii="Calibri" w:eastAsia="Times New Roman" w:hAnsi="Calibri" w:cs="Times New Roman"/>
                <w:b/>
                <w:bCs/>
                <w:color w:val="000000"/>
                <w:sz w:val="16"/>
                <w:szCs w:val="16"/>
              </w:rPr>
              <w:t>Retrenchment</w:t>
            </w:r>
          </w:p>
        </w:tc>
        <w:tc>
          <w:tcPr>
            <w:tcW w:w="3150" w:type="dxa"/>
            <w:tcBorders>
              <w:top w:val="single" w:sz="4" w:space="0" w:color="000000"/>
              <w:left w:val="single" w:sz="4" w:space="0" w:color="auto"/>
              <w:bottom w:val="single" w:sz="4" w:space="0" w:color="000000"/>
              <w:right w:val="nil"/>
            </w:tcBorders>
            <w:vAlign w:val="bottom"/>
            <w:hideMark/>
          </w:tcPr>
          <w:p w:rsidR="00F66D92" w:rsidRPr="0014310E" w:rsidRDefault="0014310E" w:rsidP="00BD753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Explanation mixed episodes gross inflows</w:t>
            </w:r>
          </w:p>
        </w:tc>
        <w:tc>
          <w:tcPr>
            <w:tcW w:w="3420" w:type="dxa"/>
            <w:tcBorders>
              <w:top w:val="single" w:sz="4" w:space="0" w:color="000000"/>
              <w:left w:val="nil"/>
              <w:bottom w:val="single" w:sz="4" w:space="0" w:color="000000"/>
              <w:right w:val="single" w:sz="4" w:space="0" w:color="auto"/>
            </w:tcBorders>
            <w:vAlign w:val="bottom"/>
            <w:hideMark/>
          </w:tcPr>
          <w:p w:rsidR="00F66D92" w:rsidRPr="0014310E" w:rsidRDefault="0014310E" w:rsidP="00BD753C">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Explanation mixed episodes gross outflows</w:t>
            </w:r>
          </w:p>
        </w:tc>
      </w:tr>
      <w:tr w:rsidR="00C5410F" w:rsidTr="0014310E">
        <w:trPr>
          <w:trHeight w:val="1448"/>
        </w:trPr>
        <w:tc>
          <w:tcPr>
            <w:tcW w:w="990" w:type="dxa"/>
            <w:tcBorders>
              <w:top w:val="nil"/>
              <w:left w:val="single" w:sz="4" w:space="0" w:color="auto"/>
              <w:bottom w:val="nil"/>
              <w:right w:val="nil"/>
            </w:tcBorders>
            <w:shd w:val="clear" w:color="auto" w:fill="D8D8D8"/>
            <w:vAlign w:val="center"/>
            <w:hideMark/>
          </w:tcPr>
          <w:p w:rsidR="00F66D92" w:rsidRPr="0014310E" w:rsidRDefault="00F66D92" w:rsidP="00BD753C">
            <w:pPr>
              <w:spacing w:after="0" w:line="240" w:lineRule="auto"/>
              <w:rPr>
                <w:rFonts w:ascii="Calibri" w:eastAsia="Times New Roman" w:hAnsi="Calibri" w:cs="Times New Roman"/>
                <w:i/>
                <w:iCs/>
                <w:color w:val="000000"/>
                <w:sz w:val="16"/>
                <w:szCs w:val="16"/>
              </w:rPr>
            </w:pPr>
            <w:r w:rsidRPr="0014310E">
              <w:rPr>
                <w:rFonts w:ascii="Calibri" w:eastAsia="Times New Roman" w:hAnsi="Calibri" w:cs="Times New Roman"/>
                <w:i/>
                <w:iCs/>
                <w:color w:val="000000"/>
                <w:sz w:val="16"/>
                <w:szCs w:val="16"/>
              </w:rPr>
              <w:t>Brazil</w:t>
            </w:r>
          </w:p>
        </w:tc>
        <w:tc>
          <w:tcPr>
            <w:tcW w:w="1800" w:type="dxa"/>
            <w:tcBorders>
              <w:top w:val="nil"/>
              <w:left w:val="single" w:sz="4" w:space="0" w:color="auto"/>
              <w:bottom w:val="nil"/>
              <w:right w:val="nil"/>
            </w:tcBorders>
            <w:shd w:val="clear" w:color="auto" w:fill="D8D8D8"/>
            <w:hideMark/>
          </w:tcPr>
          <w:p w:rsidR="00F66D92" w:rsidRPr="0014310E" w:rsidRDefault="00F66D92" w:rsidP="00BD753C">
            <w:pPr>
              <w:spacing w:after="0" w:line="240" w:lineRule="auto"/>
              <w:rPr>
                <w:rFonts w:ascii="Calibri" w:eastAsia="Times New Roman" w:hAnsi="Calibri" w:cs="Times New Roman"/>
                <w:b/>
                <w:sz w:val="16"/>
                <w:szCs w:val="16"/>
              </w:rPr>
            </w:pPr>
            <w:proofErr w:type="spellStart"/>
            <w:r w:rsidRPr="0014310E">
              <w:rPr>
                <w:rFonts w:ascii="Calibri" w:eastAsia="Times New Roman" w:hAnsi="Calibri" w:cs="Times New Roman"/>
                <w:b/>
                <w:sz w:val="16"/>
                <w:szCs w:val="16"/>
              </w:rPr>
              <w:t>i</w:t>
            </w:r>
            <w:proofErr w:type="spellEnd"/>
            <w:r w:rsidRPr="0014310E">
              <w:rPr>
                <w:rFonts w:ascii="Calibri" w:eastAsia="Times New Roman" w:hAnsi="Calibri" w:cs="Times New Roman"/>
                <w:b/>
                <w:sz w:val="16"/>
                <w:szCs w:val="16"/>
              </w:rPr>
              <w:t>)</w:t>
            </w:r>
            <w:r w:rsidRPr="0014310E">
              <w:rPr>
                <w:rFonts w:ascii="Calibri" w:eastAsia="Times New Roman" w:hAnsi="Calibri" w:cs="Times New Roman"/>
                <w:b/>
                <w:sz w:val="16"/>
                <w:szCs w:val="16"/>
                <w:highlight w:val="yellow"/>
              </w:rPr>
              <w:t>1994q1 – 1994q3</w:t>
            </w:r>
          </w:p>
          <w:p w:rsidR="00F66D92" w:rsidRPr="0014310E" w:rsidRDefault="00F66D9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iii)</w:t>
            </w:r>
            <w:r w:rsidRPr="0014310E">
              <w:rPr>
                <w:rFonts w:ascii="Calibri" w:eastAsia="Times New Roman" w:hAnsi="Calibri" w:cs="Times New Roman"/>
                <w:b/>
                <w:sz w:val="16"/>
                <w:szCs w:val="16"/>
                <w:highlight w:val="red"/>
              </w:rPr>
              <w:t>1995q4 – 1996q2</w:t>
            </w:r>
          </w:p>
          <w:p w:rsidR="00F66D92" w:rsidRPr="0014310E" w:rsidRDefault="00F66D9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v)</w:t>
            </w:r>
            <w:r w:rsidRPr="0014310E">
              <w:rPr>
                <w:rFonts w:ascii="Calibri" w:eastAsia="Times New Roman" w:hAnsi="Calibri" w:cs="Times New Roman"/>
                <w:b/>
                <w:sz w:val="16"/>
                <w:szCs w:val="16"/>
                <w:highlight w:val="yellow"/>
              </w:rPr>
              <w:t>2006q3 – 2007q4</w:t>
            </w:r>
          </w:p>
        </w:tc>
        <w:tc>
          <w:tcPr>
            <w:tcW w:w="1620" w:type="dxa"/>
            <w:shd w:val="clear" w:color="auto" w:fill="D8D8D8"/>
            <w:hideMark/>
          </w:tcPr>
          <w:p w:rsidR="00F66D92" w:rsidRPr="0014310E" w:rsidRDefault="00F66D92"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sz w:val="16"/>
                <w:szCs w:val="16"/>
              </w:rPr>
              <w:t>ii)</w:t>
            </w:r>
            <w:r w:rsidRPr="0014310E">
              <w:rPr>
                <w:rFonts w:ascii="Calibri" w:eastAsia="Times New Roman" w:hAnsi="Calibri" w:cs="Times New Roman"/>
                <w:b/>
                <w:color w:val="FFFFFF" w:themeColor="background1"/>
                <w:sz w:val="16"/>
                <w:szCs w:val="16"/>
                <w:highlight w:val="magenta"/>
              </w:rPr>
              <w:t>1988q3 – 1989q1</w:t>
            </w:r>
          </w:p>
          <w:p w:rsidR="00F66D92" w:rsidRPr="0014310E" w:rsidRDefault="00F66D92" w:rsidP="00BD753C">
            <w:pPr>
              <w:spacing w:after="0" w:line="240" w:lineRule="auto"/>
              <w:rPr>
                <w:rFonts w:ascii="Calibri" w:eastAsia="Times New Roman" w:hAnsi="Calibri" w:cs="Times New Roman"/>
                <w:b/>
                <w:sz w:val="16"/>
                <w:szCs w:val="16"/>
                <w:highlight w:val="red"/>
              </w:rPr>
            </w:pPr>
            <w:r w:rsidRPr="0014310E">
              <w:rPr>
                <w:rFonts w:ascii="Calibri" w:eastAsia="Times New Roman" w:hAnsi="Calibri" w:cs="Times New Roman"/>
                <w:b/>
                <w:sz w:val="16"/>
                <w:szCs w:val="16"/>
              </w:rPr>
              <w:t>iv)</w:t>
            </w:r>
            <w:r w:rsidRPr="0014310E">
              <w:rPr>
                <w:rFonts w:ascii="Calibri" w:eastAsia="Times New Roman" w:hAnsi="Calibri" w:cs="Times New Roman"/>
                <w:b/>
                <w:sz w:val="16"/>
                <w:szCs w:val="16"/>
                <w:highlight w:val="red"/>
              </w:rPr>
              <w:t>1995q1 – 1995q2</w:t>
            </w:r>
          </w:p>
          <w:p w:rsidR="00F66D92" w:rsidRPr="0014310E" w:rsidRDefault="00F66D9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vi)</w:t>
            </w:r>
            <w:r w:rsidRPr="0014310E">
              <w:rPr>
                <w:rFonts w:ascii="Calibri" w:eastAsia="Times New Roman" w:hAnsi="Calibri" w:cs="Times New Roman"/>
                <w:b/>
                <w:sz w:val="16"/>
                <w:szCs w:val="16"/>
                <w:highlight w:val="red"/>
              </w:rPr>
              <w:t>1999q1 – 1999q2</w:t>
            </w:r>
          </w:p>
          <w:p w:rsidR="00F66D92" w:rsidRPr="0014310E" w:rsidRDefault="00F66D9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vii)</w:t>
            </w:r>
            <w:r w:rsidRPr="0014310E">
              <w:rPr>
                <w:rFonts w:ascii="Calibri" w:eastAsia="Times New Roman" w:hAnsi="Calibri" w:cs="Times New Roman"/>
                <w:b/>
                <w:sz w:val="16"/>
                <w:szCs w:val="16"/>
                <w:highlight w:val="yellow"/>
              </w:rPr>
              <w:t>2008q2 – 2009q3</w:t>
            </w:r>
            <w:r w:rsidRPr="0014310E">
              <w:rPr>
                <w:rFonts w:ascii="Calibri" w:eastAsia="Times New Roman" w:hAnsi="Calibri" w:cs="Times New Roman"/>
                <w:b/>
                <w:sz w:val="16"/>
                <w:szCs w:val="16"/>
              </w:rPr>
              <w:t xml:space="preserve"> </w:t>
            </w:r>
          </w:p>
        </w:tc>
        <w:tc>
          <w:tcPr>
            <w:tcW w:w="1620" w:type="dxa"/>
            <w:tcBorders>
              <w:top w:val="nil"/>
              <w:left w:val="single" w:sz="4" w:space="0" w:color="auto"/>
              <w:bottom w:val="nil"/>
              <w:right w:val="nil"/>
            </w:tcBorders>
            <w:shd w:val="clear" w:color="auto" w:fill="D8D8D8"/>
            <w:hideMark/>
          </w:tcPr>
          <w:p w:rsidR="00F66D92" w:rsidRPr="0014310E" w:rsidRDefault="00F66D92"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sz w:val="16"/>
                <w:szCs w:val="16"/>
              </w:rPr>
              <w:t>a)</w:t>
            </w:r>
            <w:r w:rsidRPr="0014310E">
              <w:rPr>
                <w:rFonts w:ascii="Calibri" w:eastAsia="Times New Roman" w:hAnsi="Calibri" w:cs="Times New Roman"/>
                <w:b/>
                <w:color w:val="FFFFFF" w:themeColor="background1"/>
                <w:sz w:val="16"/>
                <w:szCs w:val="16"/>
                <w:highlight w:val="magenta"/>
              </w:rPr>
              <w:t>1987q3 – 1988q1</w:t>
            </w:r>
          </w:p>
          <w:p w:rsidR="00F66D92" w:rsidRPr="0014310E" w:rsidRDefault="00F66D9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c)</w:t>
            </w:r>
            <w:r w:rsidRPr="0014310E">
              <w:rPr>
                <w:rFonts w:ascii="Calibri" w:eastAsia="Times New Roman" w:hAnsi="Calibri" w:cs="Times New Roman"/>
                <w:b/>
                <w:sz w:val="16"/>
                <w:szCs w:val="16"/>
                <w:highlight w:val="yellow"/>
              </w:rPr>
              <w:t>1989q3 – 1990q1</w:t>
            </w:r>
          </w:p>
          <w:p w:rsidR="00F66D92" w:rsidRPr="0014310E" w:rsidRDefault="00F66D9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e)</w:t>
            </w:r>
            <w:r w:rsidRPr="0014310E">
              <w:rPr>
                <w:rFonts w:ascii="Calibri" w:eastAsia="Times New Roman" w:hAnsi="Calibri" w:cs="Times New Roman"/>
                <w:b/>
                <w:sz w:val="16"/>
                <w:szCs w:val="16"/>
                <w:highlight w:val="yellow"/>
              </w:rPr>
              <w:t>2006q4 – 2007q3</w:t>
            </w:r>
          </w:p>
          <w:p w:rsidR="00F66D92" w:rsidRPr="0014310E" w:rsidRDefault="00F66D9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g)</w:t>
            </w:r>
            <w:r w:rsidRPr="0014310E">
              <w:rPr>
                <w:rFonts w:ascii="Calibri" w:eastAsia="Times New Roman" w:hAnsi="Calibri" w:cs="Times New Roman"/>
                <w:b/>
                <w:sz w:val="16"/>
                <w:szCs w:val="16"/>
                <w:highlight w:val="yellow"/>
              </w:rPr>
              <w:t>2010q3 – 2011q2</w:t>
            </w:r>
          </w:p>
        </w:tc>
        <w:tc>
          <w:tcPr>
            <w:tcW w:w="1530" w:type="dxa"/>
            <w:tcBorders>
              <w:top w:val="nil"/>
              <w:left w:val="nil"/>
              <w:bottom w:val="nil"/>
              <w:right w:val="single" w:sz="4" w:space="0" w:color="auto"/>
            </w:tcBorders>
            <w:shd w:val="clear" w:color="auto" w:fill="D8D8D8"/>
            <w:hideMark/>
          </w:tcPr>
          <w:p w:rsidR="00F66D92" w:rsidRPr="0014310E" w:rsidRDefault="00F66D92"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sz w:val="16"/>
                <w:szCs w:val="16"/>
              </w:rPr>
              <w:t>b)</w:t>
            </w:r>
            <w:r w:rsidRPr="0014310E">
              <w:rPr>
                <w:rFonts w:ascii="Calibri" w:eastAsia="Times New Roman" w:hAnsi="Calibri" w:cs="Times New Roman"/>
                <w:b/>
                <w:color w:val="FFFFFF" w:themeColor="background1"/>
                <w:sz w:val="16"/>
                <w:szCs w:val="16"/>
                <w:highlight w:val="magenta"/>
              </w:rPr>
              <w:t>1988q3 – 1989q1</w:t>
            </w:r>
          </w:p>
          <w:p w:rsidR="00F66D92" w:rsidRPr="0014310E" w:rsidRDefault="00F66D9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d)</w:t>
            </w:r>
            <w:r w:rsidRPr="0014310E">
              <w:rPr>
                <w:rFonts w:ascii="Calibri" w:eastAsia="Times New Roman" w:hAnsi="Calibri" w:cs="Times New Roman"/>
                <w:b/>
                <w:sz w:val="16"/>
                <w:szCs w:val="16"/>
                <w:highlight w:val="red"/>
              </w:rPr>
              <w:t>1992q1 – 1992q4</w:t>
            </w:r>
          </w:p>
          <w:p w:rsidR="00F66D92" w:rsidRPr="0014310E" w:rsidRDefault="00F66D92"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sz w:val="16"/>
                <w:szCs w:val="16"/>
              </w:rPr>
              <w:t>f)</w:t>
            </w:r>
            <w:r w:rsidRPr="0014310E">
              <w:rPr>
                <w:rFonts w:ascii="Calibri" w:eastAsia="Times New Roman" w:hAnsi="Calibri" w:cs="Times New Roman"/>
                <w:b/>
                <w:color w:val="FFFFFF" w:themeColor="background1"/>
                <w:sz w:val="16"/>
                <w:szCs w:val="16"/>
                <w:highlight w:val="magenta"/>
              </w:rPr>
              <w:t>1997q4 – 1998q2</w:t>
            </w:r>
          </w:p>
          <w:p w:rsidR="00F66D92" w:rsidRPr="0014310E" w:rsidRDefault="00F66D9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h)</w:t>
            </w:r>
            <w:r w:rsidRPr="0014310E">
              <w:rPr>
                <w:rFonts w:ascii="Calibri" w:eastAsia="Times New Roman" w:hAnsi="Calibri" w:cs="Times New Roman"/>
                <w:b/>
                <w:sz w:val="16"/>
                <w:szCs w:val="16"/>
                <w:highlight w:val="red"/>
              </w:rPr>
              <w:t>2008q2 – 2008q3</w:t>
            </w:r>
          </w:p>
        </w:tc>
        <w:tc>
          <w:tcPr>
            <w:tcW w:w="3150" w:type="dxa"/>
            <w:tcBorders>
              <w:top w:val="nil"/>
              <w:left w:val="single" w:sz="4" w:space="0" w:color="auto"/>
              <w:bottom w:val="nil"/>
              <w:right w:val="nil"/>
            </w:tcBorders>
            <w:shd w:val="clear" w:color="auto" w:fill="D8D8D8"/>
            <w:hideMark/>
          </w:tcPr>
          <w:p w:rsidR="00F66D92" w:rsidRPr="0014310E" w:rsidRDefault="00F66D92" w:rsidP="00BD753C">
            <w:pPr>
              <w:spacing w:after="0" w:line="240" w:lineRule="auto"/>
              <w:rPr>
                <w:rFonts w:ascii="Calibri" w:eastAsia="Times New Roman" w:hAnsi="Calibri" w:cs="Times New Roman"/>
                <w:sz w:val="16"/>
                <w:szCs w:val="16"/>
              </w:rPr>
            </w:pPr>
            <w:proofErr w:type="spellStart"/>
            <w:r w:rsidRPr="0014310E">
              <w:rPr>
                <w:rFonts w:ascii="Calibri" w:eastAsia="Times New Roman" w:hAnsi="Calibri" w:cs="Times New Roman"/>
                <w:sz w:val="16"/>
                <w:szCs w:val="16"/>
              </w:rPr>
              <w:t>i</w:t>
            </w:r>
            <w:proofErr w:type="spellEnd"/>
            <w:r w:rsidRPr="0014310E">
              <w:rPr>
                <w:rFonts w:ascii="Calibri" w:eastAsia="Times New Roman" w:hAnsi="Calibri" w:cs="Times New Roman"/>
                <w:sz w:val="16"/>
                <w:szCs w:val="16"/>
              </w:rPr>
              <w:t>)Driven by all types but mostly portfolio investment</w:t>
            </w:r>
          </w:p>
          <w:p w:rsidR="00F66D92" w:rsidRPr="0014310E" w:rsidRDefault="00F66D9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iii)Driven by FDI and portfolio investment</w:t>
            </w:r>
          </w:p>
          <w:p w:rsidR="00F66D92" w:rsidRPr="0014310E" w:rsidRDefault="00F66D9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iv)First caused by other investment, then by portfolio</w:t>
            </w:r>
          </w:p>
          <w:p w:rsidR="00F66D92" w:rsidRPr="0014310E" w:rsidRDefault="00F66D9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v)Driven by all three types of flows</w:t>
            </w:r>
          </w:p>
          <w:p w:rsidR="00F66D92" w:rsidRPr="0014310E" w:rsidRDefault="00F66D92" w:rsidP="00F66D92">
            <w:pPr>
              <w:rPr>
                <w:rFonts w:ascii="Calibri" w:hAnsi="Calibri"/>
                <w:sz w:val="16"/>
                <w:szCs w:val="16"/>
              </w:rPr>
            </w:pPr>
            <w:r w:rsidRPr="0014310E">
              <w:rPr>
                <w:rFonts w:ascii="Calibri" w:eastAsia="Times New Roman" w:hAnsi="Calibri" w:cs="Times New Roman"/>
                <w:sz w:val="16"/>
                <w:szCs w:val="16"/>
              </w:rPr>
              <w:t>vi)</w:t>
            </w:r>
            <w:r w:rsidRPr="0014310E">
              <w:rPr>
                <w:rFonts w:ascii="Calibri" w:eastAsia="+mn-ea" w:hAnsi="Calibri" w:cs="+mn-cs"/>
                <w:color w:val="000000"/>
                <w:sz w:val="16"/>
                <w:szCs w:val="16"/>
              </w:rPr>
              <w:t xml:space="preserve"> </w:t>
            </w:r>
            <w:r w:rsidRPr="0014310E">
              <w:rPr>
                <w:rFonts w:ascii="Calibri" w:eastAsia="Times New Roman" w:hAnsi="Calibri"/>
                <w:sz w:val="16"/>
                <w:szCs w:val="16"/>
              </w:rPr>
              <w:t>A sudden stop while there is a surge in FDI. It must be driven by other investment and a little bit by portfolio.</w:t>
            </w:r>
            <w:r w:rsidRPr="0014310E">
              <w:rPr>
                <w:rFonts w:ascii="Calibri" w:hAnsi="Calibri"/>
                <w:sz w:val="16"/>
                <w:szCs w:val="16"/>
              </w:rPr>
              <w:br/>
            </w:r>
            <w:r w:rsidRPr="0014310E">
              <w:rPr>
                <w:rFonts w:ascii="Calibri" w:eastAsia="Times New Roman" w:hAnsi="Calibri" w:cs="Times New Roman"/>
                <w:sz w:val="16"/>
                <w:szCs w:val="16"/>
              </w:rPr>
              <w:t>vii)</w:t>
            </w:r>
            <w:r w:rsidRPr="0014310E">
              <w:rPr>
                <w:rFonts w:ascii="Calibri" w:eastAsia="Times New Roman" w:hAnsi="Calibri" w:cs="Times New Roman"/>
                <w:sz w:val="16"/>
                <w:szCs w:val="16"/>
              </w:rPr>
              <w:t xml:space="preserve"> </w:t>
            </w:r>
            <w:r w:rsidRPr="0014310E">
              <w:rPr>
                <w:rFonts w:ascii="Calibri" w:eastAsia="Times New Roman" w:hAnsi="Calibri" w:cs="Times New Roman"/>
                <w:sz w:val="16"/>
                <w:szCs w:val="16"/>
              </w:rPr>
              <w:t>Mostly other investment and portfolio but in the last quarter FDI reaches a sudden stop as well</w:t>
            </w:r>
          </w:p>
          <w:p w:rsidR="00F66D92" w:rsidRPr="0014310E" w:rsidRDefault="00F66D92" w:rsidP="00BD753C">
            <w:pPr>
              <w:spacing w:after="0" w:line="240" w:lineRule="auto"/>
              <w:rPr>
                <w:rFonts w:ascii="Calibri" w:eastAsia="Times New Roman" w:hAnsi="Calibri" w:cs="Times New Roman"/>
                <w:sz w:val="16"/>
                <w:szCs w:val="16"/>
              </w:rPr>
            </w:pPr>
          </w:p>
        </w:tc>
        <w:tc>
          <w:tcPr>
            <w:tcW w:w="3420" w:type="dxa"/>
            <w:tcBorders>
              <w:top w:val="nil"/>
              <w:left w:val="nil"/>
              <w:bottom w:val="nil"/>
              <w:right w:val="single" w:sz="4" w:space="0" w:color="auto"/>
            </w:tcBorders>
            <w:shd w:val="clear" w:color="auto" w:fill="D8D8D8"/>
            <w:hideMark/>
          </w:tcPr>
          <w:p w:rsidR="00F66D92" w:rsidRPr="0014310E" w:rsidRDefault="00F66D9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c</w:t>
            </w:r>
            <w:r w:rsidRPr="0014310E">
              <w:rPr>
                <w:rFonts w:ascii="Calibri" w:eastAsia="Times New Roman" w:hAnsi="Calibri" w:cs="Times New Roman"/>
                <w:sz w:val="16"/>
                <w:szCs w:val="16"/>
              </w:rPr>
              <w:t xml:space="preserve">)Driven by all types </w:t>
            </w:r>
          </w:p>
          <w:p w:rsidR="00F66D92" w:rsidRPr="0014310E" w:rsidRDefault="00F66D9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d) Driven</w:t>
            </w:r>
            <w:r w:rsidRPr="0014310E">
              <w:rPr>
                <w:rFonts w:ascii="Calibri" w:eastAsia="Times New Roman" w:hAnsi="Calibri" w:cs="Times New Roman"/>
                <w:sz w:val="16"/>
                <w:szCs w:val="16"/>
              </w:rPr>
              <w:t xml:space="preserve"> </w:t>
            </w:r>
            <w:r w:rsidRPr="0014310E">
              <w:rPr>
                <w:rFonts w:ascii="Calibri" w:eastAsia="Times New Roman" w:hAnsi="Calibri" w:cs="Times New Roman"/>
                <w:sz w:val="16"/>
                <w:szCs w:val="16"/>
              </w:rPr>
              <w:t>mostly strongly by other investment and in the last two quarters also by FDI.</w:t>
            </w:r>
          </w:p>
          <w:p w:rsidR="00F66D92" w:rsidRPr="0014310E" w:rsidRDefault="00F66D9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e) First</w:t>
            </w:r>
            <w:r w:rsidRPr="0014310E">
              <w:rPr>
                <w:rFonts w:ascii="Calibri" w:eastAsia="Times New Roman" w:hAnsi="Calibri" w:cs="Times New Roman"/>
                <w:sz w:val="16"/>
                <w:szCs w:val="16"/>
              </w:rPr>
              <w:t xml:space="preserve"> caused by </w:t>
            </w:r>
            <w:r w:rsidRPr="0014310E">
              <w:rPr>
                <w:rFonts w:ascii="Calibri" w:eastAsia="Times New Roman" w:hAnsi="Calibri" w:cs="Times New Roman"/>
                <w:sz w:val="16"/>
                <w:szCs w:val="16"/>
              </w:rPr>
              <w:t xml:space="preserve">FD and then by other investment and portfolio. </w:t>
            </w:r>
          </w:p>
          <w:p w:rsidR="00F66D92" w:rsidRPr="0014310E" w:rsidRDefault="00F66D9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g</w:t>
            </w:r>
            <w:r w:rsidRPr="0014310E">
              <w:rPr>
                <w:rFonts w:ascii="Calibri" w:eastAsia="Times New Roman" w:hAnsi="Calibri" w:cs="Times New Roman"/>
                <w:sz w:val="16"/>
                <w:szCs w:val="16"/>
              </w:rPr>
              <w:t>)</w:t>
            </w:r>
            <w:r w:rsidR="00CC7BBE" w:rsidRPr="0014310E">
              <w:rPr>
                <w:rFonts w:ascii="Calibri" w:eastAsia="Times New Roman" w:hAnsi="Calibri" w:cs="Times New Roman"/>
                <w:sz w:val="16"/>
                <w:szCs w:val="16"/>
              </w:rPr>
              <w:t xml:space="preserve"> </w:t>
            </w:r>
            <w:r w:rsidRPr="0014310E">
              <w:rPr>
                <w:rFonts w:ascii="Calibri" w:eastAsia="Times New Roman" w:hAnsi="Calibri" w:cs="Times New Roman"/>
                <w:sz w:val="16"/>
                <w:szCs w:val="16"/>
              </w:rPr>
              <w:t>Driven by all three types of flows</w:t>
            </w:r>
            <w:r w:rsidR="00CC7BBE" w:rsidRPr="0014310E">
              <w:rPr>
                <w:rFonts w:ascii="Calibri" w:eastAsia="Times New Roman" w:hAnsi="Calibri" w:cs="Times New Roman"/>
                <w:sz w:val="16"/>
                <w:szCs w:val="16"/>
              </w:rPr>
              <w:t xml:space="preserve">. First quarter it must have been a mix of FDI and other investment, second quarter mainly FDI and portfolio and the other quarters a mix of all three. </w:t>
            </w:r>
          </w:p>
          <w:p w:rsidR="00F66D92" w:rsidRPr="0014310E" w:rsidRDefault="00F66D9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h</w:t>
            </w:r>
            <w:r w:rsidRPr="0014310E">
              <w:rPr>
                <w:rFonts w:ascii="Calibri" w:eastAsia="Times New Roman" w:hAnsi="Calibri" w:cs="Times New Roman"/>
                <w:sz w:val="16"/>
                <w:szCs w:val="16"/>
              </w:rPr>
              <w:t>)</w:t>
            </w:r>
            <w:r w:rsidR="00CC7BBE" w:rsidRPr="0014310E">
              <w:rPr>
                <w:rFonts w:ascii="Calibri" w:eastAsia="Times New Roman" w:hAnsi="Calibri" w:cs="Times New Roman"/>
                <w:sz w:val="16"/>
                <w:szCs w:val="16"/>
              </w:rPr>
              <w:t xml:space="preserve"> Mix of other investment and portfolio investment. </w:t>
            </w:r>
          </w:p>
          <w:p w:rsidR="00F66D92" w:rsidRPr="0014310E" w:rsidRDefault="00F66D92" w:rsidP="00BD753C">
            <w:pPr>
              <w:spacing w:after="0" w:line="240" w:lineRule="auto"/>
              <w:rPr>
                <w:rFonts w:ascii="Calibri" w:eastAsia="Times New Roman" w:hAnsi="Calibri" w:cs="Times New Roman"/>
                <w:sz w:val="16"/>
                <w:szCs w:val="16"/>
              </w:rPr>
            </w:pPr>
          </w:p>
          <w:p w:rsidR="00F66D92" w:rsidRPr="0014310E" w:rsidRDefault="00F66D92" w:rsidP="00BD753C">
            <w:pPr>
              <w:spacing w:after="0" w:line="240" w:lineRule="auto"/>
              <w:rPr>
                <w:rFonts w:ascii="Calibri" w:eastAsia="Times New Roman" w:hAnsi="Calibri" w:cs="Times New Roman"/>
                <w:sz w:val="16"/>
                <w:szCs w:val="16"/>
              </w:rPr>
            </w:pPr>
          </w:p>
        </w:tc>
      </w:tr>
      <w:tr w:rsidR="00C5410F" w:rsidTr="0014310E">
        <w:trPr>
          <w:trHeight w:val="1440"/>
        </w:trPr>
        <w:tc>
          <w:tcPr>
            <w:tcW w:w="990" w:type="dxa"/>
            <w:tcBorders>
              <w:top w:val="nil"/>
              <w:left w:val="single" w:sz="4" w:space="0" w:color="auto"/>
              <w:bottom w:val="nil"/>
              <w:right w:val="nil"/>
            </w:tcBorders>
            <w:vAlign w:val="center"/>
            <w:hideMark/>
          </w:tcPr>
          <w:p w:rsidR="00F66D92" w:rsidRPr="0014310E" w:rsidRDefault="00F66D92" w:rsidP="00BD753C">
            <w:pPr>
              <w:spacing w:after="0" w:line="240" w:lineRule="auto"/>
              <w:rPr>
                <w:rFonts w:ascii="Calibri" w:eastAsia="Times New Roman" w:hAnsi="Calibri" w:cs="Times New Roman"/>
                <w:i/>
                <w:iCs/>
                <w:color w:val="000000"/>
                <w:sz w:val="16"/>
                <w:szCs w:val="16"/>
              </w:rPr>
            </w:pPr>
            <w:r w:rsidRPr="0014310E">
              <w:rPr>
                <w:rFonts w:ascii="Calibri" w:eastAsia="Times New Roman" w:hAnsi="Calibri" w:cs="Times New Roman"/>
                <w:i/>
                <w:iCs/>
                <w:color w:val="000000"/>
                <w:sz w:val="16"/>
                <w:szCs w:val="16"/>
              </w:rPr>
              <w:t>Chile</w:t>
            </w:r>
          </w:p>
        </w:tc>
        <w:tc>
          <w:tcPr>
            <w:tcW w:w="1800" w:type="dxa"/>
            <w:tcBorders>
              <w:top w:val="nil"/>
              <w:left w:val="single" w:sz="4" w:space="0" w:color="auto"/>
              <w:bottom w:val="nil"/>
              <w:right w:val="nil"/>
            </w:tcBorders>
            <w:hideMark/>
          </w:tcPr>
          <w:p w:rsidR="00F66D92" w:rsidRPr="0014310E" w:rsidRDefault="00A7478F" w:rsidP="00BD753C">
            <w:pPr>
              <w:spacing w:after="0" w:line="240" w:lineRule="auto"/>
              <w:rPr>
                <w:rFonts w:ascii="Calibri" w:eastAsia="Times New Roman" w:hAnsi="Calibri" w:cs="Times New Roman"/>
                <w:b/>
                <w:color w:val="FFFFFF" w:themeColor="background1"/>
                <w:sz w:val="16"/>
                <w:szCs w:val="16"/>
              </w:rPr>
            </w:pPr>
            <w:proofErr w:type="spellStart"/>
            <w:r w:rsidRPr="0014310E">
              <w:rPr>
                <w:rFonts w:ascii="Calibri" w:eastAsia="Times New Roman" w:hAnsi="Calibri" w:cs="Times New Roman"/>
                <w:b/>
                <w:sz w:val="16"/>
                <w:szCs w:val="16"/>
              </w:rPr>
              <w:t>i</w:t>
            </w:r>
            <w:proofErr w:type="spellEnd"/>
            <w:r w:rsidRPr="0014310E">
              <w:rPr>
                <w:rFonts w:ascii="Calibri" w:eastAsia="Times New Roman" w:hAnsi="Calibri" w:cs="Times New Roman"/>
                <w:b/>
                <w:sz w:val="16"/>
                <w:szCs w:val="16"/>
              </w:rPr>
              <w:t>)</w:t>
            </w:r>
            <w:r w:rsidR="00F66D92" w:rsidRPr="0014310E">
              <w:rPr>
                <w:rFonts w:ascii="Calibri" w:eastAsia="Times New Roman" w:hAnsi="Calibri" w:cs="Times New Roman"/>
                <w:b/>
                <w:color w:val="FFFFFF" w:themeColor="background1"/>
                <w:sz w:val="16"/>
                <w:szCs w:val="16"/>
                <w:highlight w:val="magenta"/>
              </w:rPr>
              <w:t>2006q1 – 2006q3</w:t>
            </w:r>
          </w:p>
          <w:p w:rsidR="00F66D92" w:rsidRPr="0014310E" w:rsidRDefault="00A7478F"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iii)</w:t>
            </w:r>
            <w:r w:rsidR="00F66D92" w:rsidRPr="0014310E">
              <w:rPr>
                <w:rFonts w:ascii="Calibri" w:eastAsia="Times New Roman" w:hAnsi="Calibri" w:cs="Times New Roman"/>
                <w:b/>
                <w:sz w:val="16"/>
                <w:szCs w:val="16"/>
                <w:highlight w:val="yellow"/>
              </w:rPr>
              <w:t>2007q4 – 2008q3</w:t>
            </w:r>
          </w:p>
        </w:tc>
        <w:tc>
          <w:tcPr>
            <w:tcW w:w="1620" w:type="dxa"/>
            <w:hideMark/>
          </w:tcPr>
          <w:p w:rsidR="00F66D92" w:rsidRPr="0014310E" w:rsidRDefault="00A7478F"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color w:val="FFFFFF" w:themeColor="background1"/>
                <w:sz w:val="16"/>
                <w:szCs w:val="16"/>
                <w:highlight w:val="darkGreen"/>
              </w:rPr>
              <w:t>ii)</w:t>
            </w:r>
            <w:r w:rsidR="00F66D92" w:rsidRPr="0014310E">
              <w:rPr>
                <w:rFonts w:ascii="Calibri" w:eastAsia="Times New Roman" w:hAnsi="Calibri" w:cs="Times New Roman"/>
                <w:b/>
                <w:color w:val="FFFFFF" w:themeColor="background1"/>
                <w:sz w:val="16"/>
                <w:szCs w:val="16"/>
                <w:highlight w:val="darkGreen"/>
              </w:rPr>
              <w:t>2000q2 – 2001q1</w:t>
            </w:r>
          </w:p>
          <w:p w:rsidR="00F66D92" w:rsidRPr="0014310E" w:rsidRDefault="00A7478F"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highlight w:val="red"/>
              </w:rPr>
              <w:t>iv)</w:t>
            </w:r>
            <w:r w:rsidR="00F66D92" w:rsidRPr="0014310E">
              <w:rPr>
                <w:rFonts w:ascii="Calibri" w:eastAsia="Times New Roman" w:hAnsi="Calibri" w:cs="Times New Roman"/>
                <w:b/>
                <w:sz w:val="16"/>
                <w:szCs w:val="16"/>
                <w:highlight w:val="red"/>
              </w:rPr>
              <w:t>2008q4 – 2009q3</w:t>
            </w:r>
          </w:p>
        </w:tc>
        <w:tc>
          <w:tcPr>
            <w:tcW w:w="1620" w:type="dxa"/>
            <w:tcBorders>
              <w:top w:val="nil"/>
              <w:left w:val="single" w:sz="4" w:space="0" w:color="auto"/>
              <w:bottom w:val="nil"/>
              <w:right w:val="nil"/>
            </w:tcBorders>
            <w:hideMark/>
          </w:tcPr>
          <w:p w:rsidR="00F66D92" w:rsidRPr="0014310E" w:rsidRDefault="00A7478F"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a)</w:t>
            </w:r>
            <w:r w:rsidR="00F66D92" w:rsidRPr="0014310E">
              <w:rPr>
                <w:rFonts w:ascii="Calibri" w:eastAsia="Times New Roman" w:hAnsi="Calibri" w:cs="Times New Roman"/>
                <w:b/>
                <w:sz w:val="16"/>
                <w:szCs w:val="16"/>
                <w:highlight w:val="yellow"/>
              </w:rPr>
              <w:t>1998q2 – 1999q4</w:t>
            </w:r>
          </w:p>
          <w:p w:rsidR="00F66D92" w:rsidRPr="0014310E" w:rsidRDefault="00A7478F"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sz w:val="16"/>
                <w:szCs w:val="16"/>
              </w:rPr>
              <w:t>c)</w:t>
            </w:r>
            <w:r w:rsidR="00F66D92" w:rsidRPr="0014310E">
              <w:rPr>
                <w:rFonts w:ascii="Calibri" w:eastAsia="Times New Roman" w:hAnsi="Calibri" w:cs="Times New Roman"/>
                <w:b/>
                <w:color w:val="FFFFFF" w:themeColor="background1"/>
                <w:sz w:val="16"/>
                <w:szCs w:val="16"/>
                <w:highlight w:val="blue"/>
              </w:rPr>
              <w:t>2006q1 – 2006q4</w:t>
            </w:r>
          </w:p>
          <w:p w:rsidR="00F66D92" w:rsidRPr="0014310E" w:rsidRDefault="00A7478F"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e)</w:t>
            </w:r>
            <w:r w:rsidR="00F66D92" w:rsidRPr="0014310E">
              <w:rPr>
                <w:rFonts w:ascii="Calibri" w:eastAsia="Times New Roman" w:hAnsi="Calibri" w:cs="Times New Roman"/>
                <w:b/>
                <w:sz w:val="16"/>
                <w:szCs w:val="16"/>
                <w:highlight w:val="yellow"/>
              </w:rPr>
              <w:t>2007q2 – 2008q1</w:t>
            </w:r>
          </w:p>
        </w:tc>
        <w:tc>
          <w:tcPr>
            <w:tcW w:w="1530" w:type="dxa"/>
            <w:tcBorders>
              <w:top w:val="nil"/>
              <w:left w:val="nil"/>
              <w:bottom w:val="nil"/>
              <w:right w:val="single" w:sz="4" w:space="0" w:color="auto"/>
            </w:tcBorders>
            <w:hideMark/>
          </w:tcPr>
          <w:p w:rsidR="00F66D92" w:rsidRPr="0014310E" w:rsidRDefault="00A7478F" w:rsidP="00BD753C">
            <w:pPr>
              <w:spacing w:after="0" w:line="240" w:lineRule="auto"/>
              <w:rPr>
                <w:rFonts w:ascii="Calibri" w:eastAsia="Times New Roman" w:hAnsi="Calibri" w:cs="Times New Roman"/>
                <w:b/>
                <w:sz w:val="16"/>
                <w:szCs w:val="16"/>
                <w:highlight w:val="yellow"/>
              </w:rPr>
            </w:pPr>
            <w:r w:rsidRPr="0014310E">
              <w:rPr>
                <w:rFonts w:ascii="Calibri" w:eastAsia="Times New Roman" w:hAnsi="Calibri" w:cs="Times New Roman"/>
                <w:b/>
                <w:sz w:val="16"/>
                <w:szCs w:val="16"/>
              </w:rPr>
              <w:t>b)</w:t>
            </w:r>
            <w:r w:rsidR="00F66D92" w:rsidRPr="0014310E">
              <w:rPr>
                <w:rFonts w:ascii="Calibri" w:eastAsia="Times New Roman" w:hAnsi="Calibri" w:cs="Times New Roman"/>
                <w:b/>
                <w:sz w:val="16"/>
                <w:szCs w:val="16"/>
                <w:highlight w:val="yellow"/>
              </w:rPr>
              <w:t>2000q2 – 2001q1</w:t>
            </w:r>
          </w:p>
          <w:p w:rsidR="00F66D92" w:rsidRPr="0014310E" w:rsidRDefault="00A7478F"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d)</w:t>
            </w:r>
            <w:r w:rsidR="00F66D92" w:rsidRPr="0014310E">
              <w:rPr>
                <w:rFonts w:ascii="Calibri" w:eastAsia="Times New Roman" w:hAnsi="Calibri" w:cs="Times New Roman"/>
                <w:b/>
                <w:sz w:val="16"/>
                <w:szCs w:val="16"/>
                <w:highlight w:val="yellow"/>
              </w:rPr>
              <w:t>2008q3 – 2009q3</w:t>
            </w:r>
          </w:p>
        </w:tc>
        <w:tc>
          <w:tcPr>
            <w:tcW w:w="3150" w:type="dxa"/>
            <w:tcBorders>
              <w:top w:val="nil"/>
              <w:left w:val="single" w:sz="4" w:space="0" w:color="auto"/>
              <w:bottom w:val="nil"/>
              <w:right w:val="nil"/>
            </w:tcBorders>
            <w:hideMark/>
          </w:tcPr>
          <w:p w:rsidR="00A7478F" w:rsidRPr="0014310E" w:rsidRDefault="00A7478F" w:rsidP="00A7478F">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iii)</w:t>
            </w:r>
            <w:r w:rsidRPr="0014310E">
              <w:rPr>
                <w:rFonts w:ascii="Calibri" w:eastAsia="Times New Roman" w:hAnsi="Calibri" w:cs="Times New Roman"/>
                <w:sz w:val="16"/>
                <w:szCs w:val="16"/>
              </w:rPr>
              <w:t xml:space="preserve"> Surge mostly driven by FDI and Other investment in the first three quarters and by all three in the last quarter. </w:t>
            </w:r>
          </w:p>
          <w:p w:rsidR="00A7478F" w:rsidRPr="0014310E" w:rsidRDefault="00A7478F" w:rsidP="00A7478F">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iv</w:t>
            </w:r>
            <w:proofErr w:type="gramStart"/>
            <w:r w:rsidRPr="0014310E">
              <w:rPr>
                <w:rFonts w:ascii="Calibri" w:eastAsia="Times New Roman" w:hAnsi="Calibri" w:cs="Times New Roman"/>
                <w:sz w:val="16"/>
                <w:szCs w:val="16"/>
              </w:rPr>
              <w:t>)</w:t>
            </w:r>
            <w:r w:rsidRPr="0014310E">
              <w:rPr>
                <w:rFonts w:ascii="Calibri" w:eastAsia="Times New Roman" w:hAnsi="Calibri" w:cs="Times New Roman"/>
                <w:sz w:val="16"/>
                <w:szCs w:val="16"/>
              </w:rPr>
              <w:t>Mostly</w:t>
            </w:r>
            <w:proofErr w:type="gramEnd"/>
            <w:r w:rsidRPr="0014310E">
              <w:rPr>
                <w:rFonts w:ascii="Calibri" w:eastAsia="Times New Roman" w:hAnsi="Calibri" w:cs="Times New Roman"/>
                <w:sz w:val="16"/>
                <w:szCs w:val="16"/>
              </w:rPr>
              <w:t xml:space="preserve"> caused by other investment and a bit by FDI. </w:t>
            </w:r>
          </w:p>
          <w:p w:rsidR="00F66D92" w:rsidRPr="0014310E" w:rsidRDefault="00F66D92" w:rsidP="00BD753C">
            <w:pPr>
              <w:spacing w:after="0" w:line="240" w:lineRule="auto"/>
              <w:rPr>
                <w:rFonts w:ascii="Calibri" w:eastAsia="Times New Roman" w:hAnsi="Calibri" w:cs="Times New Roman"/>
                <w:sz w:val="16"/>
                <w:szCs w:val="16"/>
              </w:rPr>
            </w:pPr>
          </w:p>
        </w:tc>
        <w:tc>
          <w:tcPr>
            <w:tcW w:w="3420" w:type="dxa"/>
            <w:tcBorders>
              <w:top w:val="nil"/>
              <w:left w:val="nil"/>
              <w:bottom w:val="nil"/>
              <w:right w:val="single" w:sz="4" w:space="0" w:color="auto"/>
            </w:tcBorders>
            <w:hideMark/>
          </w:tcPr>
          <w:p w:rsidR="00A7478F" w:rsidRPr="0014310E" w:rsidRDefault="00A7478F" w:rsidP="00A7478F">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a</w:t>
            </w:r>
            <w:r w:rsidRPr="0014310E">
              <w:rPr>
                <w:rFonts w:ascii="Calibri" w:eastAsia="Times New Roman" w:hAnsi="Calibri" w:cs="Times New Roman"/>
                <w:sz w:val="16"/>
                <w:szCs w:val="16"/>
              </w:rPr>
              <w:t>)</w:t>
            </w:r>
            <w:r w:rsidRPr="0014310E">
              <w:rPr>
                <w:rFonts w:ascii="Calibri" w:eastAsia="Times New Roman" w:hAnsi="Calibri" w:cs="Times New Roman"/>
                <w:sz w:val="16"/>
                <w:szCs w:val="16"/>
              </w:rPr>
              <w:t xml:space="preserve"> </w:t>
            </w:r>
            <w:r w:rsidRPr="0014310E">
              <w:rPr>
                <w:rFonts w:ascii="Calibri" w:eastAsia="Times New Roman" w:hAnsi="Calibri" w:cs="Times New Roman"/>
                <w:sz w:val="16"/>
                <w:szCs w:val="16"/>
              </w:rPr>
              <w:t xml:space="preserve">Driven by all types </w:t>
            </w:r>
          </w:p>
          <w:p w:rsidR="00A7478F" w:rsidRPr="0014310E" w:rsidRDefault="00A7478F" w:rsidP="00A7478F">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 xml:space="preserve">b) </w:t>
            </w:r>
            <w:r w:rsidRPr="0014310E">
              <w:rPr>
                <w:rFonts w:ascii="Calibri" w:eastAsia="Times New Roman" w:hAnsi="Calibri" w:cs="Times New Roman"/>
                <w:sz w:val="16"/>
                <w:szCs w:val="16"/>
              </w:rPr>
              <w:t>Driven by all types</w:t>
            </w:r>
          </w:p>
          <w:p w:rsidR="00A7478F" w:rsidRPr="0014310E" w:rsidRDefault="00A7478F" w:rsidP="00A7478F">
            <w:pPr>
              <w:rPr>
                <w:rFonts w:ascii="Calibri" w:hAnsi="Calibri"/>
                <w:sz w:val="16"/>
                <w:szCs w:val="16"/>
              </w:rPr>
            </w:pPr>
            <w:r w:rsidRPr="0014310E">
              <w:rPr>
                <w:rFonts w:ascii="Calibri" w:eastAsia="Times New Roman" w:hAnsi="Calibri" w:cs="Times New Roman"/>
                <w:sz w:val="16"/>
                <w:szCs w:val="16"/>
              </w:rPr>
              <w:t xml:space="preserve">d) </w:t>
            </w:r>
            <w:r w:rsidRPr="0014310E">
              <w:rPr>
                <w:rFonts w:ascii="Calibri" w:eastAsia="Times New Roman" w:hAnsi="Calibri"/>
                <w:sz w:val="16"/>
                <w:szCs w:val="16"/>
              </w:rPr>
              <w:t xml:space="preserve">A retrenchment episode driven by all three but mostly by portfolio and FDI </w:t>
            </w:r>
            <w:r w:rsidRPr="0014310E">
              <w:rPr>
                <w:rFonts w:ascii="Calibri" w:hAnsi="Calibri"/>
                <w:sz w:val="16"/>
                <w:szCs w:val="16"/>
              </w:rPr>
              <w:br/>
              <w:t xml:space="preserve">e) </w:t>
            </w:r>
            <w:r w:rsidR="005C73F3" w:rsidRPr="0014310E">
              <w:rPr>
                <w:rFonts w:ascii="Calibri" w:hAnsi="Calibri"/>
                <w:sz w:val="16"/>
                <w:szCs w:val="16"/>
              </w:rPr>
              <w:t xml:space="preserve">A flight episode mostly driven by FDI and other investment and a little but by portfolio investment. </w:t>
            </w:r>
          </w:p>
          <w:p w:rsidR="00F66D92" w:rsidRPr="0014310E" w:rsidRDefault="00F66D92" w:rsidP="00BD753C">
            <w:pPr>
              <w:spacing w:after="0" w:line="240" w:lineRule="auto"/>
              <w:rPr>
                <w:rFonts w:ascii="Calibri" w:eastAsia="Times New Roman" w:hAnsi="Calibri" w:cs="Times New Roman"/>
                <w:sz w:val="16"/>
                <w:szCs w:val="16"/>
              </w:rPr>
            </w:pPr>
          </w:p>
        </w:tc>
      </w:tr>
      <w:tr w:rsidR="00C5410F" w:rsidTr="0014310E">
        <w:trPr>
          <w:trHeight w:val="810"/>
        </w:trPr>
        <w:tc>
          <w:tcPr>
            <w:tcW w:w="990" w:type="dxa"/>
            <w:tcBorders>
              <w:top w:val="nil"/>
              <w:left w:val="single" w:sz="4" w:space="0" w:color="auto"/>
              <w:bottom w:val="nil"/>
              <w:right w:val="nil"/>
            </w:tcBorders>
            <w:shd w:val="clear" w:color="auto" w:fill="D8D8D8"/>
            <w:vAlign w:val="center"/>
            <w:hideMark/>
          </w:tcPr>
          <w:p w:rsidR="005C73F3" w:rsidRPr="0014310E" w:rsidRDefault="005C73F3" w:rsidP="00BD753C">
            <w:pPr>
              <w:spacing w:after="0" w:line="240" w:lineRule="auto"/>
              <w:rPr>
                <w:rFonts w:ascii="Calibri" w:eastAsia="Times New Roman" w:hAnsi="Calibri" w:cs="Times New Roman"/>
                <w:i/>
                <w:iCs/>
                <w:color w:val="000000"/>
                <w:sz w:val="16"/>
                <w:szCs w:val="16"/>
              </w:rPr>
            </w:pPr>
            <w:r w:rsidRPr="0014310E">
              <w:rPr>
                <w:rFonts w:ascii="Calibri" w:eastAsia="Times New Roman" w:hAnsi="Calibri" w:cs="Times New Roman"/>
                <w:i/>
                <w:iCs/>
                <w:color w:val="000000"/>
                <w:sz w:val="16"/>
                <w:szCs w:val="16"/>
              </w:rPr>
              <w:t>Colombia</w:t>
            </w:r>
          </w:p>
        </w:tc>
        <w:tc>
          <w:tcPr>
            <w:tcW w:w="1800" w:type="dxa"/>
            <w:tcBorders>
              <w:top w:val="nil"/>
              <w:left w:val="single" w:sz="4" w:space="0" w:color="auto"/>
              <w:bottom w:val="nil"/>
              <w:right w:val="nil"/>
            </w:tcBorders>
            <w:shd w:val="clear" w:color="auto" w:fill="D8D8D8"/>
            <w:hideMark/>
          </w:tcPr>
          <w:p w:rsidR="005C73F3" w:rsidRPr="0014310E" w:rsidRDefault="005C73F3" w:rsidP="00BD753C">
            <w:pPr>
              <w:spacing w:after="0" w:line="240" w:lineRule="auto"/>
              <w:rPr>
                <w:rFonts w:ascii="Calibri" w:eastAsia="Times New Roman" w:hAnsi="Calibri" w:cs="Times New Roman"/>
                <w:b/>
                <w:color w:val="FFFFFF" w:themeColor="background1"/>
                <w:sz w:val="16"/>
                <w:szCs w:val="16"/>
              </w:rPr>
            </w:pPr>
            <w:proofErr w:type="spellStart"/>
            <w:r w:rsidRPr="0014310E">
              <w:rPr>
                <w:rFonts w:ascii="Calibri" w:eastAsia="Times New Roman" w:hAnsi="Calibri" w:cs="Times New Roman"/>
                <w:b/>
                <w:sz w:val="16"/>
                <w:szCs w:val="16"/>
              </w:rPr>
              <w:t>i</w:t>
            </w:r>
            <w:proofErr w:type="spellEnd"/>
            <w:r w:rsidRPr="0014310E">
              <w:rPr>
                <w:rFonts w:ascii="Calibri" w:eastAsia="Times New Roman" w:hAnsi="Calibri" w:cs="Times New Roman"/>
                <w:b/>
                <w:sz w:val="16"/>
                <w:szCs w:val="16"/>
              </w:rPr>
              <w:t>)</w:t>
            </w:r>
            <w:r w:rsidRPr="0014310E">
              <w:rPr>
                <w:rFonts w:ascii="Calibri" w:eastAsia="Times New Roman" w:hAnsi="Calibri" w:cs="Times New Roman"/>
                <w:b/>
                <w:color w:val="FFFFFF" w:themeColor="background1"/>
                <w:sz w:val="16"/>
                <w:szCs w:val="16"/>
                <w:highlight w:val="magenta"/>
              </w:rPr>
              <w:t>2006q2 – 2006q3</w:t>
            </w:r>
          </w:p>
          <w:p w:rsidR="005C73F3" w:rsidRPr="0014310E" w:rsidRDefault="005C73F3"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iii)</w:t>
            </w:r>
            <w:r w:rsidRPr="0014310E">
              <w:rPr>
                <w:rFonts w:ascii="Calibri" w:eastAsia="Times New Roman" w:hAnsi="Calibri" w:cs="Times New Roman"/>
                <w:b/>
                <w:sz w:val="16"/>
                <w:szCs w:val="16"/>
                <w:highlight w:val="red"/>
              </w:rPr>
              <w:t>2010q4 – 2011q2</w:t>
            </w:r>
          </w:p>
        </w:tc>
        <w:tc>
          <w:tcPr>
            <w:tcW w:w="1620" w:type="dxa"/>
            <w:shd w:val="clear" w:color="auto" w:fill="D8D8D8"/>
            <w:hideMark/>
          </w:tcPr>
          <w:p w:rsidR="005C73F3" w:rsidRPr="0014310E" w:rsidRDefault="005C73F3"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color w:val="FFFFFF" w:themeColor="background1"/>
                <w:sz w:val="16"/>
                <w:szCs w:val="16"/>
                <w:highlight w:val="darkGreen"/>
              </w:rPr>
              <w:t>ii)</w:t>
            </w:r>
            <w:r w:rsidRPr="0014310E">
              <w:rPr>
                <w:rFonts w:ascii="Calibri" w:eastAsia="Times New Roman" w:hAnsi="Calibri" w:cs="Times New Roman"/>
                <w:b/>
                <w:color w:val="FFFFFF" w:themeColor="background1"/>
                <w:sz w:val="16"/>
                <w:szCs w:val="16"/>
                <w:highlight w:val="darkGreen"/>
              </w:rPr>
              <w:t>2000q4 – 2001q2</w:t>
            </w:r>
          </w:p>
          <w:p w:rsidR="005C73F3" w:rsidRPr="0014310E" w:rsidRDefault="005C73F3"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color w:val="FFFFFF" w:themeColor="background1"/>
                <w:sz w:val="16"/>
                <w:szCs w:val="16"/>
                <w:highlight w:val="blue"/>
              </w:rPr>
              <w:t>iv)</w:t>
            </w:r>
            <w:r w:rsidRPr="0014310E">
              <w:rPr>
                <w:rFonts w:ascii="Calibri" w:eastAsia="Times New Roman" w:hAnsi="Calibri" w:cs="Times New Roman"/>
                <w:b/>
                <w:color w:val="FFFFFF" w:themeColor="background1"/>
                <w:sz w:val="16"/>
                <w:szCs w:val="16"/>
                <w:highlight w:val="blue"/>
              </w:rPr>
              <w:t>2015q2 – 2016q2</w:t>
            </w:r>
          </w:p>
        </w:tc>
        <w:tc>
          <w:tcPr>
            <w:tcW w:w="1620" w:type="dxa"/>
            <w:tcBorders>
              <w:top w:val="nil"/>
              <w:left w:val="single" w:sz="4" w:space="0" w:color="auto"/>
              <w:bottom w:val="nil"/>
              <w:right w:val="nil"/>
            </w:tcBorders>
            <w:shd w:val="clear" w:color="auto" w:fill="D8D8D8"/>
            <w:hideMark/>
          </w:tcPr>
          <w:p w:rsidR="005C73F3" w:rsidRPr="0014310E" w:rsidRDefault="005C73F3"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a)</w:t>
            </w:r>
            <w:r w:rsidRPr="0014310E">
              <w:rPr>
                <w:rFonts w:ascii="Calibri" w:eastAsia="Times New Roman" w:hAnsi="Calibri" w:cs="Times New Roman"/>
                <w:b/>
                <w:sz w:val="16"/>
                <w:szCs w:val="16"/>
                <w:highlight w:val="yellow"/>
              </w:rPr>
              <w:t>1999q3 – 2000q1</w:t>
            </w:r>
            <w:r w:rsidRPr="0014310E">
              <w:rPr>
                <w:rFonts w:ascii="Calibri" w:eastAsia="Times New Roman" w:hAnsi="Calibri" w:cs="Times New Roman"/>
                <w:b/>
                <w:sz w:val="16"/>
                <w:szCs w:val="16"/>
              </w:rPr>
              <w:t xml:space="preserve"> </w:t>
            </w:r>
          </w:p>
          <w:p w:rsidR="005C73F3" w:rsidRPr="0014310E" w:rsidRDefault="005C73F3"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sz w:val="16"/>
                <w:szCs w:val="16"/>
              </w:rPr>
              <w:t>c)</w:t>
            </w:r>
            <w:r w:rsidRPr="0014310E">
              <w:rPr>
                <w:rFonts w:ascii="Calibri" w:eastAsia="Times New Roman" w:hAnsi="Calibri" w:cs="Times New Roman"/>
                <w:b/>
                <w:color w:val="FFFFFF" w:themeColor="background1"/>
                <w:sz w:val="16"/>
                <w:szCs w:val="16"/>
                <w:highlight w:val="darkGreen"/>
              </w:rPr>
              <w:t>2005q4 – 2006q3</w:t>
            </w:r>
          </w:p>
        </w:tc>
        <w:tc>
          <w:tcPr>
            <w:tcW w:w="1530" w:type="dxa"/>
            <w:tcBorders>
              <w:top w:val="nil"/>
              <w:left w:val="nil"/>
              <w:bottom w:val="nil"/>
              <w:right w:val="single" w:sz="4" w:space="0" w:color="auto"/>
            </w:tcBorders>
            <w:shd w:val="clear" w:color="auto" w:fill="D8D8D8"/>
            <w:hideMark/>
          </w:tcPr>
          <w:p w:rsidR="005C73F3" w:rsidRPr="0014310E" w:rsidRDefault="005C73F3"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b)</w:t>
            </w:r>
            <w:r w:rsidRPr="0014310E">
              <w:rPr>
                <w:rFonts w:ascii="Calibri" w:eastAsia="Times New Roman" w:hAnsi="Calibri" w:cs="Times New Roman"/>
                <w:b/>
                <w:sz w:val="16"/>
                <w:szCs w:val="16"/>
                <w:highlight w:val="red"/>
              </w:rPr>
              <w:t>2000q3 – 2001q1</w:t>
            </w:r>
          </w:p>
          <w:p w:rsidR="005C73F3" w:rsidRPr="0014310E" w:rsidRDefault="005C73F3"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sz w:val="16"/>
                <w:szCs w:val="16"/>
              </w:rPr>
              <w:t>d)</w:t>
            </w:r>
            <w:r w:rsidRPr="0014310E">
              <w:rPr>
                <w:rFonts w:ascii="Calibri" w:eastAsia="Times New Roman" w:hAnsi="Calibri" w:cs="Times New Roman"/>
                <w:b/>
                <w:color w:val="FFFFFF" w:themeColor="background1"/>
                <w:sz w:val="16"/>
                <w:szCs w:val="16"/>
                <w:highlight w:val="darkGreen"/>
              </w:rPr>
              <w:t>2012q4– 2013q1</w:t>
            </w:r>
          </w:p>
        </w:tc>
        <w:tc>
          <w:tcPr>
            <w:tcW w:w="3150" w:type="dxa"/>
            <w:tcBorders>
              <w:top w:val="nil"/>
              <w:left w:val="single" w:sz="4" w:space="0" w:color="auto"/>
              <w:bottom w:val="nil"/>
              <w:right w:val="nil"/>
            </w:tcBorders>
            <w:shd w:val="clear" w:color="auto" w:fill="D8D8D8"/>
            <w:hideMark/>
          </w:tcPr>
          <w:p w:rsidR="005C73F3" w:rsidRPr="0014310E" w:rsidRDefault="005C73F3"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 xml:space="preserve">iii) </w:t>
            </w:r>
            <w:r w:rsidRPr="0014310E">
              <w:rPr>
                <w:rFonts w:ascii="Calibri" w:eastAsia="Times New Roman" w:hAnsi="Calibri" w:cs="Times New Roman"/>
                <w:sz w:val="16"/>
                <w:szCs w:val="16"/>
              </w:rPr>
              <w:t xml:space="preserve">Surge mostly driven </w:t>
            </w:r>
            <w:proofErr w:type="gramStart"/>
            <w:r w:rsidRPr="0014310E">
              <w:rPr>
                <w:rFonts w:ascii="Calibri" w:eastAsia="Times New Roman" w:hAnsi="Calibri" w:cs="Times New Roman"/>
                <w:sz w:val="16"/>
                <w:szCs w:val="16"/>
              </w:rPr>
              <w:t>by  other</w:t>
            </w:r>
            <w:proofErr w:type="gramEnd"/>
            <w:r w:rsidRPr="0014310E">
              <w:rPr>
                <w:rFonts w:ascii="Calibri" w:eastAsia="Times New Roman" w:hAnsi="Calibri" w:cs="Times New Roman"/>
                <w:sz w:val="16"/>
                <w:szCs w:val="16"/>
              </w:rPr>
              <w:t xml:space="preserve"> investment in the first two quarters and by FDI in the last quarter.</w:t>
            </w:r>
            <w:r w:rsidRPr="0014310E">
              <w:rPr>
                <w:rFonts w:ascii="Calibri" w:eastAsia="Times New Roman" w:hAnsi="Calibri" w:cs="Times New Roman"/>
                <w:sz w:val="16"/>
                <w:szCs w:val="16"/>
              </w:rPr>
              <w:t xml:space="preserve"> </w:t>
            </w:r>
          </w:p>
          <w:p w:rsidR="005C73F3" w:rsidRPr="0014310E" w:rsidRDefault="005C73F3" w:rsidP="005C73F3">
            <w:pPr>
              <w:spacing w:after="0" w:line="240" w:lineRule="auto"/>
              <w:rPr>
                <w:rFonts w:ascii="Calibri" w:eastAsia="Times New Roman" w:hAnsi="Calibri" w:cs="Times New Roman"/>
                <w:sz w:val="16"/>
                <w:szCs w:val="16"/>
              </w:rPr>
            </w:pPr>
          </w:p>
        </w:tc>
        <w:tc>
          <w:tcPr>
            <w:tcW w:w="3420" w:type="dxa"/>
            <w:tcBorders>
              <w:top w:val="nil"/>
              <w:left w:val="nil"/>
              <w:bottom w:val="nil"/>
              <w:right w:val="single" w:sz="4" w:space="0" w:color="auto"/>
            </w:tcBorders>
            <w:shd w:val="clear" w:color="auto" w:fill="D8D8D8"/>
            <w:hideMark/>
          </w:tcPr>
          <w:p w:rsidR="005C73F3" w:rsidRPr="0014310E" w:rsidRDefault="005C73F3"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a) Driven by all types</w:t>
            </w:r>
            <w:r w:rsidR="008107DC" w:rsidRPr="0014310E">
              <w:rPr>
                <w:rFonts w:ascii="Calibri" w:eastAsia="Times New Roman" w:hAnsi="Calibri" w:cs="Times New Roman"/>
                <w:sz w:val="16"/>
                <w:szCs w:val="16"/>
              </w:rPr>
              <w:t xml:space="preserve"> but mostly by FDI</w:t>
            </w:r>
            <w:r w:rsidRPr="0014310E">
              <w:rPr>
                <w:rFonts w:ascii="Calibri" w:eastAsia="Times New Roman" w:hAnsi="Calibri" w:cs="Times New Roman"/>
                <w:sz w:val="16"/>
                <w:szCs w:val="16"/>
              </w:rPr>
              <w:t xml:space="preserve"> </w:t>
            </w:r>
          </w:p>
          <w:p w:rsidR="005C73F3" w:rsidRPr="0014310E" w:rsidRDefault="005C73F3"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 xml:space="preserve">b) Driven by </w:t>
            </w:r>
            <w:r w:rsidR="008107DC" w:rsidRPr="0014310E">
              <w:rPr>
                <w:rFonts w:ascii="Calibri" w:eastAsia="Times New Roman" w:hAnsi="Calibri" w:cs="Times New Roman"/>
                <w:sz w:val="16"/>
                <w:szCs w:val="16"/>
              </w:rPr>
              <w:t>FDI and Portfolio Investment</w:t>
            </w:r>
          </w:p>
          <w:p w:rsidR="005C73F3" w:rsidRPr="0014310E" w:rsidRDefault="005C73F3" w:rsidP="00BD753C">
            <w:pPr>
              <w:rPr>
                <w:rFonts w:ascii="Calibri" w:hAnsi="Calibri"/>
                <w:sz w:val="16"/>
                <w:szCs w:val="16"/>
              </w:rPr>
            </w:pPr>
          </w:p>
          <w:p w:rsidR="005C73F3" w:rsidRPr="0014310E" w:rsidRDefault="005C73F3" w:rsidP="00BD753C">
            <w:pPr>
              <w:spacing w:after="0" w:line="240" w:lineRule="auto"/>
              <w:rPr>
                <w:rFonts w:ascii="Calibri" w:eastAsia="Times New Roman" w:hAnsi="Calibri" w:cs="Times New Roman"/>
                <w:sz w:val="16"/>
                <w:szCs w:val="16"/>
              </w:rPr>
            </w:pPr>
          </w:p>
        </w:tc>
      </w:tr>
      <w:tr w:rsidR="00C5410F" w:rsidTr="0014310E">
        <w:trPr>
          <w:trHeight w:val="1017"/>
        </w:trPr>
        <w:tc>
          <w:tcPr>
            <w:tcW w:w="990" w:type="dxa"/>
            <w:tcBorders>
              <w:top w:val="nil"/>
              <w:left w:val="single" w:sz="4" w:space="0" w:color="auto"/>
              <w:bottom w:val="nil"/>
              <w:right w:val="nil"/>
            </w:tcBorders>
            <w:vAlign w:val="center"/>
            <w:hideMark/>
          </w:tcPr>
          <w:p w:rsidR="00F206D2" w:rsidRPr="0014310E" w:rsidRDefault="00F206D2" w:rsidP="00BD753C">
            <w:pPr>
              <w:spacing w:after="0" w:line="240" w:lineRule="auto"/>
              <w:rPr>
                <w:rFonts w:ascii="Calibri" w:eastAsia="Times New Roman" w:hAnsi="Calibri" w:cs="Times New Roman"/>
                <w:i/>
                <w:iCs/>
                <w:color w:val="000000"/>
                <w:sz w:val="16"/>
                <w:szCs w:val="16"/>
              </w:rPr>
            </w:pPr>
            <w:r w:rsidRPr="0014310E">
              <w:rPr>
                <w:rFonts w:ascii="Calibri" w:eastAsia="Times New Roman" w:hAnsi="Calibri" w:cs="Times New Roman"/>
                <w:i/>
                <w:iCs/>
                <w:color w:val="000000"/>
                <w:sz w:val="16"/>
                <w:szCs w:val="16"/>
              </w:rPr>
              <w:t>Mexico</w:t>
            </w:r>
          </w:p>
        </w:tc>
        <w:tc>
          <w:tcPr>
            <w:tcW w:w="1800" w:type="dxa"/>
            <w:tcBorders>
              <w:top w:val="nil"/>
              <w:left w:val="single" w:sz="4" w:space="0" w:color="auto"/>
              <w:bottom w:val="nil"/>
              <w:right w:val="nil"/>
            </w:tcBorders>
            <w:hideMark/>
          </w:tcPr>
          <w:p w:rsidR="00F206D2" w:rsidRPr="0014310E" w:rsidRDefault="00F206D2" w:rsidP="00BD753C">
            <w:pPr>
              <w:spacing w:after="0" w:line="240" w:lineRule="auto"/>
              <w:rPr>
                <w:rFonts w:ascii="Calibri" w:eastAsia="Times New Roman" w:hAnsi="Calibri" w:cs="Times New Roman"/>
                <w:b/>
                <w:sz w:val="16"/>
                <w:szCs w:val="16"/>
              </w:rPr>
            </w:pPr>
            <w:proofErr w:type="spellStart"/>
            <w:r w:rsidRPr="0014310E">
              <w:rPr>
                <w:rFonts w:ascii="Calibri" w:eastAsia="Times New Roman" w:hAnsi="Calibri" w:cs="Times New Roman"/>
                <w:b/>
                <w:sz w:val="16"/>
                <w:szCs w:val="16"/>
              </w:rPr>
              <w:t>i</w:t>
            </w:r>
            <w:proofErr w:type="spellEnd"/>
            <w:r w:rsidRPr="0014310E">
              <w:rPr>
                <w:rFonts w:ascii="Calibri" w:eastAsia="Times New Roman" w:hAnsi="Calibri" w:cs="Times New Roman"/>
                <w:b/>
                <w:sz w:val="16"/>
                <w:szCs w:val="16"/>
              </w:rPr>
              <w:t>)</w:t>
            </w:r>
            <w:r w:rsidRPr="0014310E">
              <w:rPr>
                <w:rFonts w:ascii="Calibri" w:eastAsia="Times New Roman" w:hAnsi="Calibri" w:cs="Times New Roman"/>
                <w:b/>
                <w:sz w:val="16"/>
                <w:szCs w:val="16"/>
                <w:highlight w:val="red"/>
              </w:rPr>
              <w:t>1990q1 – 1990q4</w:t>
            </w:r>
          </w:p>
          <w:p w:rsidR="00F206D2" w:rsidRPr="0014310E" w:rsidRDefault="00F206D2"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sz w:val="16"/>
                <w:szCs w:val="16"/>
              </w:rPr>
              <w:t>iii)</w:t>
            </w:r>
            <w:r w:rsidRPr="0014310E">
              <w:rPr>
                <w:rFonts w:ascii="Calibri" w:eastAsia="Times New Roman" w:hAnsi="Calibri" w:cs="Times New Roman"/>
                <w:b/>
                <w:color w:val="FFFFFF" w:themeColor="background1"/>
                <w:sz w:val="16"/>
                <w:szCs w:val="16"/>
                <w:highlight w:val="darkGreen"/>
              </w:rPr>
              <w:t>2001q3 – 2002q2</w:t>
            </w:r>
          </w:p>
          <w:p w:rsidR="00F206D2" w:rsidRPr="0014310E" w:rsidRDefault="00F206D2" w:rsidP="00BD753C">
            <w:pPr>
              <w:spacing w:after="0" w:line="240" w:lineRule="auto"/>
              <w:rPr>
                <w:rFonts w:ascii="Calibri" w:eastAsia="Times New Roman" w:hAnsi="Calibri" w:cs="Times New Roman"/>
                <w:b/>
                <w:sz w:val="16"/>
                <w:szCs w:val="16"/>
                <w:highlight w:val="yellow"/>
              </w:rPr>
            </w:pPr>
            <w:r w:rsidRPr="0014310E">
              <w:rPr>
                <w:rFonts w:ascii="Calibri" w:eastAsia="Times New Roman" w:hAnsi="Calibri" w:cs="Times New Roman"/>
                <w:b/>
                <w:sz w:val="16"/>
                <w:szCs w:val="16"/>
              </w:rPr>
              <w:t>v)</w:t>
            </w:r>
            <w:r w:rsidRPr="0014310E">
              <w:rPr>
                <w:rFonts w:ascii="Calibri" w:eastAsia="Times New Roman" w:hAnsi="Calibri" w:cs="Times New Roman"/>
                <w:b/>
                <w:sz w:val="16"/>
                <w:szCs w:val="16"/>
                <w:highlight w:val="yellow"/>
              </w:rPr>
              <w:t>2007q3 – 2008q2</w:t>
            </w:r>
          </w:p>
          <w:p w:rsidR="00F206D2" w:rsidRPr="0014310E" w:rsidRDefault="00F206D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vii)</w:t>
            </w:r>
            <w:r w:rsidRPr="0014310E">
              <w:rPr>
                <w:rFonts w:ascii="Calibri" w:eastAsia="Times New Roman" w:hAnsi="Calibri" w:cs="Times New Roman"/>
                <w:b/>
                <w:sz w:val="16"/>
                <w:szCs w:val="16"/>
                <w:highlight w:val="red"/>
              </w:rPr>
              <w:t>2010q1 – 2011q1</w:t>
            </w:r>
          </w:p>
        </w:tc>
        <w:tc>
          <w:tcPr>
            <w:tcW w:w="1620" w:type="dxa"/>
            <w:hideMark/>
          </w:tcPr>
          <w:p w:rsidR="00F206D2" w:rsidRPr="0014310E" w:rsidRDefault="00F206D2"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color w:val="FFFFFF" w:themeColor="background1"/>
                <w:sz w:val="16"/>
                <w:szCs w:val="16"/>
                <w:highlight w:val="blue"/>
              </w:rPr>
              <w:t>ii)</w:t>
            </w:r>
            <w:r w:rsidRPr="0014310E">
              <w:rPr>
                <w:rFonts w:ascii="Calibri" w:eastAsia="Times New Roman" w:hAnsi="Calibri" w:cs="Times New Roman"/>
                <w:b/>
                <w:color w:val="FFFFFF" w:themeColor="background1"/>
                <w:sz w:val="16"/>
                <w:szCs w:val="16"/>
                <w:highlight w:val="blue"/>
              </w:rPr>
              <w:t>1994q4 – 1995q3</w:t>
            </w:r>
          </w:p>
          <w:p w:rsidR="00F206D2" w:rsidRPr="0014310E" w:rsidRDefault="00F206D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highlight w:val="yellow"/>
              </w:rPr>
              <w:t>iv)</w:t>
            </w:r>
            <w:r w:rsidRPr="0014310E">
              <w:rPr>
                <w:rFonts w:ascii="Calibri" w:eastAsia="Times New Roman" w:hAnsi="Calibri" w:cs="Times New Roman"/>
                <w:b/>
                <w:sz w:val="16"/>
                <w:szCs w:val="16"/>
                <w:highlight w:val="yellow"/>
              </w:rPr>
              <w:t>2008q4 – 2009q3</w:t>
            </w:r>
          </w:p>
          <w:p w:rsidR="00F206D2" w:rsidRPr="0014310E" w:rsidRDefault="00F206D2"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color w:val="FFFFFF" w:themeColor="background1"/>
                <w:sz w:val="16"/>
                <w:szCs w:val="16"/>
                <w:highlight w:val="blue"/>
              </w:rPr>
              <w:t>vi)</w:t>
            </w:r>
            <w:r w:rsidRPr="0014310E">
              <w:rPr>
                <w:rFonts w:ascii="Calibri" w:eastAsia="Times New Roman" w:hAnsi="Calibri" w:cs="Times New Roman"/>
                <w:b/>
                <w:color w:val="FFFFFF" w:themeColor="background1"/>
                <w:sz w:val="16"/>
                <w:szCs w:val="16"/>
                <w:highlight w:val="blue"/>
              </w:rPr>
              <w:t>2015q2 – 2015q4</w:t>
            </w:r>
          </w:p>
        </w:tc>
        <w:tc>
          <w:tcPr>
            <w:tcW w:w="1620" w:type="dxa"/>
            <w:tcBorders>
              <w:top w:val="nil"/>
              <w:left w:val="single" w:sz="4" w:space="0" w:color="auto"/>
              <w:bottom w:val="nil"/>
              <w:right w:val="nil"/>
            </w:tcBorders>
            <w:hideMark/>
          </w:tcPr>
          <w:p w:rsidR="00F206D2" w:rsidRPr="0014310E" w:rsidRDefault="00F206D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a)</w:t>
            </w:r>
            <w:r w:rsidRPr="0014310E">
              <w:rPr>
                <w:rFonts w:ascii="Calibri" w:eastAsia="Times New Roman" w:hAnsi="Calibri" w:cs="Times New Roman"/>
                <w:b/>
                <w:sz w:val="16"/>
                <w:szCs w:val="16"/>
                <w:highlight w:val="red"/>
              </w:rPr>
              <w:t>2004q3 – 2005q2</w:t>
            </w:r>
          </w:p>
          <w:p w:rsidR="00F206D2" w:rsidRPr="0014310E" w:rsidRDefault="00F206D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c)</w:t>
            </w:r>
            <w:r w:rsidRPr="0014310E">
              <w:rPr>
                <w:rFonts w:ascii="Calibri" w:eastAsia="Times New Roman" w:hAnsi="Calibri" w:cs="Times New Roman"/>
                <w:b/>
                <w:sz w:val="16"/>
                <w:szCs w:val="16"/>
                <w:highlight w:val="yellow"/>
              </w:rPr>
              <w:t>2007q3 – 2007q4</w:t>
            </w:r>
          </w:p>
          <w:p w:rsidR="00F206D2" w:rsidRPr="0014310E" w:rsidRDefault="00F206D2" w:rsidP="00BD753C">
            <w:pPr>
              <w:spacing w:after="0" w:line="240" w:lineRule="auto"/>
              <w:rPr>
                <w:rFonts w:ascii="Calibri" w:eastAsia="Times New Roman" w:hAnsi="Calibri" w:cs="Times New Roman"/>
                <w:b/>
                <w:sz w:val="16"/>
                <w:szCs w:val="16"/>
              </w:rPr>
            </w:pPr>
          </w:p>
        </w:tc>
        <w:tc>
          <w:tcPr>
            <w:tcW w:w="1530" w:type="dxa"/>
            <w:tcBorders>
              <w:top w:val="nil"/>
              <w:left w:val="nil"/>
              <w:bottom w:val="nil"/>
              <w:right w:val="single" w:sz="4" w:space="0" w:color="auto"/>
            </w:tcBorders>
            <w:hideMark/>
          </w:tcPr>
          <w:p w:rsidR="00F206D2" w:rsidRPr="0014310E" w:rsidRDefault="00F206D2" w:rsidP="00BD753C">
            <w:pPr>
              <w:spacing w:after="0" w:line="240" w:lineRule="auto"/>
              <w:rPr>
                <w:rFonts w:ascii="Calibri" w:eastAsia="Times New Roman" w:hAnsi="Calibri" w:cs="Times New Roman"/>
                <w:b/>
                <w:color w:val="FFFFFF" w:themeColor="background1"/>
                <w:sz w:val="16"/>
                <w:szCs w:val="16"/>
              </w:rPr>
            </w:pPr>
            <w:r w:rsidRPr="0014310E">
              <w:rPr>
                <w:rFonts w:ascii="Calibri" w:eastAsia="Times New Roman" w:hAnsi="Calibri" w:cs="Times New Roman"/>
                <w:b/>
                <w:sz w:val="16"/>
                <w:szCs w:val="16"/>
              </w:rPr>
              <w:t>b)</w:t>
            </w:r>
            <w:r w:rsidRPr="0014310E">
              <w:rPr>
                <w:rFonts w:ascii="Calibri" w:eastAsia="Times New Roman" w:hAnsi="Calibri" w:cs="Times New Roman"/>
                <w:b/>
                <w:color w:val="FFFFFF" w:themeColor="background1"/>
                <w:sz w:val="16"/>
                <w:szCs w:val="16"/>
                <w:highlight w:val="magenta"/>
              </w:rPr>
              <w:t>1992q2 – 1992q3</w:t>
            </w:r>
          </w:p>
          <w:p w:rsidR="00F206D2" w:rsidRPr="0014310E" w:rsidRDefault="00F206D2" w:rsidP="00BD753C">
            <w:pPr>
              <w:spacing w:after="0" w:line="240" w:lineRule="auto"/>
              <w:rPr>
                <w:rFonts w:ascii="Calibri" w:eastAsia="Times New Roman" w:hAnsi="Calibri" w:cs="Times New Roman"/>
                <w:b/>
                <w:sz w:val="16"/>
                <w:szCs w:val="16"/>
              </w:rPr>
            </w:pPr>
            <w:r w:rsidRPr="0014310E">
              <w:rPr>
                <w:rFonts w:ascii="Calibri" w:eastAsia="Times New Roman" w:hAnsi="Calibri" w:cs="Times New Roman"/>
                <w:b/>
                <w:sz w:val="16"/>
                <w:szCs w:val="16"/>
              </w:rPr>
              <w:t>d)</w:t>
            </w:r>
            <w:r w:rsidRPr="0014310E">
              <w:rPr>
                <w:rFonts w:ascii="Calibri" w:eastAsia="Times New Roman" w:hAnsi="Calibri" w:cs="Times New Roman"/>
                <w:b/>
                <w:sz w:val="16"/>
                <w:szCs w:val="16"/>
                <w:highlight w:val="yellow"/>
              </w:rPr>
              <w:t>2008q3 – 2009q2</w:t>
            </w:r>
          </w:p>
        </w:tc>
        <w:tc>
          <w:tcPr>
            <w:tcW w:w="3150" w:type="dxa"/>
            <w:tcBorders>
              <w:top w:val="nil"/>
              <w:left w:val="single" w:sz="4" w:space="0" w:color="auto"/>
              <w:bottom w:val="nil"/>
              <w:right w:val="nil"/>
            </w:tcBorders>
          </w:tcPr>
          <w:p w:rsidR="00F206D2" w:rsidRPr="0014310E" w:rsidRDefault="00F206D2" w:rsidP="00BD753C">
            <w:pPr>
              <w:spacing w:after="0" w:line="240" w:lineRule="auto"/>
              <w:rPr>
                <w:rFonts w:ascii="Calibri" w:eastAsia="Times New Roman" w:hAnsi="Calibri" w:cs="Times New Roman"/>
                <w:sz w:val="16"/>
                <w:szCs w:val="16"/>
              </w:rPr>
            </w:pPr>
            <w:proofErr w:type="spellStart"/>
            <w:r w:rsidRPr="0014310E">
              <w:rPr>
                <w:rFonts w:ascii="Calibri" w:eastAsia="Times New Roman" w:hAnsi="Calibri" w:cs="Times New Roman"/>
                <w:sz w:val="16"/>
                <w:szCs w:val="16"/>
              </w:rPr>
              <w:t>i</w:t>
            </w:r>
            <w:proofErr w:type="spellEnd"/>
            <w:r w:rsidRPr="0014310E">
              <w:rPr>
                <w:rFonts w:ascii="Calibri" w:eastAsia="Times New Roman" w:hAnsi="Calibri" w:cs="Times New Roman"/>
                <w:sz w:val="16"/>
                <w:szCs w:val="16"/>
              </w:rPr>
              <w:t>)</w:t>
            </w:r>
            <w:r w:rsidRPr="0014310E">
              <w:rPr>
                <w:rFonts w:ascii="Calibri" w:eastAsia="Times New Roman" w:hAnsi="Calibri" w:cs="Times New Roman"/>
                <w:sz w:val="16"/>
                <w:szCs w:val="16"/>
              </w:rPr>
              <w:t xml:space="preserve">Driven by all types by </w:t>
            </w:r>
            <w:r w:rsidRPr="0014310E">
              <w:rPr>
                <w:rFonts w:ascii="Calibri" w:eastAsia="Times New Roman" w:hAnsi="Calibri" w:cs="Times New Roman"/>
                <w:sz w:val="16"/>
                <w:szCs w:val="16"/>
              </w:rPr>
              <w:t>portfolio investment</w:t>
            </w:r>
            <w:r w:rsidRPr="0014310E">
              <w:rPr>
                <w:rFonts w:ascii="Calibri" w:eastAsia="Times New Roman" w:hAnsi="Calibri" w:cs="Times New Roman"/>
                <w:sz w:val="16"/>
                <w:szCs w:val="16"/>
              </w:rPr>
              <w:t xml:space="preserve"> and other investment</w:t>
            </w:r>
          </w:p>
          <w:p w:rsidR="00F206D2" w:rsidRPr="0014310E" w:rsidRDefault="00F206D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iv</w:t>
            </w:r>
            <w:r w:rsidRPr="0014310E">
              <w:rPr>
                <w:rFonts w:ascii="Calibri" w:eastAsia="Times New Roman" w:hAnsi="Calibri" w:cs="Times New Roman"/>
                <w:sz w:val="16"/>
                <w:szCs w:val="16"/>
              </w:rPr>
              <w:t xml:space="preserve">)Driven by </w:t>
            </w:r>
            <w:r w:rsidRPr="0014310E">
              <w:rPr>
                <w:rFonts w:ascii="Calibri" w:eastAsia="Times New Roman" w:hAnsi="Calibri" w:cs="Times New Roman"/>
                <w:sz w:val="16"/>
                <w:szCs w:val="16"/>
              </w:rPr>
              <w:t>all three</w:t>
            </w:r>
            <w:r w:rsidR="006868F5" w:rsidRPr="0014310E">
              <w:rPr>
                <w:rFonts w:ascii="Calibri" w:eastAsia="Times New Roman" w:hAnsi="Calibri" w:cs="Times New Roman"/>
                <w:sz w:val="16"/>
                <w:szCs w:val="16"/>
              </w:rPr>
              <w:t xml:space="preserve"> types</w:t>
            </w:r>
          </w:p>
          <w:p w:rsidR="00F206D2" w:rsidRPr="0014310E" w:rsidRDefault="00F206D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v)</w:t>
            </w:r>
            <w:r w:rsidR="006868F5" w:rsidRPr="0014310E">
              <w:rPr>
                <w:rFonts w:ascii="Calibri" w:eastAsia="Times New Roman" w:hAnsi="Calibri" w:cs="Times New Roman"/>
                <w:sz w:val="16"/>
                <w:szCs w:val="16"/>
              </w:rPr>
              <w:t>Driven by all three the types</w:t>
            </w:r>
          </w:p>
          <w:p w:rsidR="00F206D2" w:rsidRPr="0014310E" w:rsidRDefault="00F206D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v</w:t>
            </w:r>
            <w:r w:rsidR="006868F5" w:rsidRPr="0014310E">
              <w:rPr>
                <w:rFonts w:ascii="Calibri" w:eastAsia="Times New Roman" w:hAnsi="Calibri" w:cs="Times New Roman"/>
                <w:sz w:val="16"/>
                <w:szCs w:val="16"/>
              </w:rPr>
              <w:t>ii</w:t>
            </w:r>
            <w:r w:rsidRPr="0014310E">
              <w:rPr>
                <w:rFonts w:ascii="Calibri" w:eastAsia="Times New Roman" w:hAnsi="Calibri" w:cs="Times New Roman"/>
                <w:sz w:val="16"/>
                <w:szCs w:val="16"/>
              </w:rPr>
              <w:t xml:space="preserve">)Driven by </w:t>
            </w:r>
            <w:r w:rsidR="006868F5" w:rsidRPr="0014310E">
              <w:rPr>
                <w:rFonts w:ascii="Calibri" w:eastAsia="Times New Roman" w:hAnsi="Calibri" w:cs="Times New Roman"/>
                <w:sz w:val="16"/>
                <w:szCs w:val="16"/>
              </w:rPr>
              <w:t>portfolio and other investment</w:t>
            </w:r>
          </w:p>
          <w:p w:rsidR="00F206D2" w:rsidRPr="0014310E" w:rsidRDefault="00F206D2" w:rsidP="006868F5">
            <w:pPr>
              <w:rPr>
                <w:rFonts w:ascii="Calibri" w:eastAsia="Times New Roman" w:hAnsi="Calibri" w:cs="Times New Roman"/>
                <w:sz w:val="16"/>
                <w:szCs w:val="16"/>
              </w:rPr>
            </w:pPr>
          </w:p>
        </w:tc>
        <w:tc>
          <w:tcPr>
            <w:tcW w:w="3420" w:type="dxa"/>
            <w:tcBorders>
              <w:top w:val="nil"/>
              <w:left w:val="nil"/>
              <w:bottom w:val="nil"/>
              <w:right w:val="single" w:sz="4" w:space="0" w:color="auto"/>
            </w:tcBorders>
            <w:hideMark/>
          </w:tcPr>
          <w:p w:rsidR="00F206D2" w:rsidRPr="0014310E" w:rsidRDefault="005964CE"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a</w:t>
            </w:r>
            <w:r w:rsidR="00F206D2" w:rsidRPr="0014310E">
              <w:rPr>
                <w:rFonts w:ascii="Calibri" w:eastAsia="Times New Roman" w:hAnsi="Calibri" w:cs="Times New Roman"/>
                <w:sz w:val="16"/>
                <w:szCs w:val="16"/>
              </w:rPr>
              <w:t>)</w:t>
            </w:r>
            <w:r w:rsidRPr="0014310E">
              <w:rPr>
                <w:rFonts w:ascii="Calibri" w:eastAsia="Times New Roman" w:hAnsi="Calibri" w:cs="Times New Roman"/>
                <w:sz w:val="16"/>
                <w:szCs w:val="16"/>
              </w:rPr>
              <w:t>Flight driven by FDI and Portfolio</w:t>
            </w:r>
            <w:r w:rsidR="00F206D2" w:rsidRPr="0014310E">
              <w:rPr>
                <w:rFonts w:ascii="Calibri" w:eastAsia="Times New Roman" w:hAnsi="Calibri" w:cs="Times New Roman"/>
                <w:sz w:val="16"/>
                <w:szCs w:val="16"/>
              </w:rPr>
              <w:t xml:space="preserve"> </w:t>
            </w:r>
          </w:p>
          <w:p w:rsidR="00F206D2" w:rsidRPr="0014310E" w:rsidRDefault="00F206D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 xml:space="preserve">d) Driven </w:t>
            </w:r>
            <w:r w:rsidR="005964CE" w:rsidRPr="0014310E">
              <w:rPr>
                <w:rFonts w:ascii="Calibri" w:eastAsia="Times New Roman" w:hAnsi="Calibri" w:cs="Times New Roman"/>
                <w:sz w:val="16"/>
                <w:szCs w:val="16"/>
              </w:rPr>
              <w:t>by all three</w:t>
            </w:r>
          </w:p>
          <w:p w:rsidR="00F206D2" w:rsidRPr="0014310E" w:rsidRDefault="00F206D2" w:rsidP="00BD753C">
            <w:pPr>
              <w:spacing w:after="0" w:line="240" w:lineRule="auto"/>
              <w:rPr>
                <w:rFonts w:ascii="Calibri" w:eastAsia="Times New Roman" w:hAnsi="Calibri" w:cs="Times New Roman"/>
                <w:sz w:val="16"/>
                <w:szCs w:val="16"/>
              </w:rPr>
            </w:pPr>
            <w:r w:rsidRPr="0014310E">
              <w:rPr>
                <w:rFonts w:ascii="Calibri" w:eastAsia="Times New Roman" w:hAnsi="Calibri" w:cs="Times New Roman"/>
                <w:sz w:val="16"/>
                <w:szCs w:val="16"/>
              </w:rPr>
              <w:t xml:space="preserve">e) </w:t>
            </w:r>
            <w:r w:rsidR="005964CE" w:rsidRPr="0014310E">
              <w:rPr>
                <w:rFonts w:ascii="Calibri" w:eastAsia="Times New Roman" w:hAnsi="Calibri" w:cs="Times New Roman"/>
                <w:sz w:val="16"/>
                <w:szCs w:val="16"/>
              </w:rPr>
              <w:t>Driven by all three</w:t>
            </w:r>
            <w:r w:rsidRPr="0014310E">
              <w:rPr>
                <w:rFonts w:ascii="Calibri" w:eastAsia="Times New Roman" w:hAnsi="Calibri" w:cs="Times New Roman"/>
                <w:sz w:val="16"/>
                <w:szCs w:val="16"/>
              </w:rPr>
              <w:t xml:space="preserve"> </w:t>
            </w:r>
          </w:p>
          <w:p w:rsidR="00F206D2" w:rsidRPr="0014310E" w:rsidRDefault="00F206D2" w:rsidP="00BD753C">
            <w:pPr>
              <w:spacing w:after="0" w:line="240" w:lineRule="auto"/>
              <w:rPr>
                <w:rFonts w:ascii="Calibri" w:eastAsia="Times New Roman" w:hAnsi="Calibri" w:cs="Times New Roman"/>
                <w:sz w:val="16"/>
                <w:szCs w:val="16"/>
              </w:rPr>
            </w:pPr>
          </w:p>
          <w:p w:rsidR="00F206D2" w:rsidRPr="0014310E" w:rsidRDefault="00F206D2" w:rsidP="00BD753C">
            <w:pPr>
              <w:spacing w:after="0" w:line="240" w:lineRule="auto"/>
              <w:rPr>
                <w:rFonts w:ascii="Calibri" w:eastAsia="Times New Roman" w:hAnsi="Calibri" w:cs="Times New Roman"/>
                <w:sz w:val="16"/>
                <w:szCs w:val="16"/>
              </w:rPr>
            </w:pPr>
          </w:p>
        </w:tc>
      </w:tr>
    </w:tbl>
    <w:p w:rsidR="00F66D92" w:rsidRDefault="00F66D92" w:rsidP="00F66D92">
      <w:r>
        <w:pict>
          <v:shapetype id="_x0000_t202" coordsize="21600,21600" o:spt="202" path="m,l,21600r21600,l21600,xe">
            <v:stroke joinstyle="miter"/>
            <v:path gradientshapeok="t" o:connecttype="rect"/>
          </v:shapetype>
          <v:shape id="_x0000_s1026" type="#_x0000_t202" style="position:absolute;margin-left:-11.8pt;margin-top:1.8pt;width:709.3pt;height:85.65pt;z-index:251660288;mso-position-horizontal-relative:text;mso-position-vertical-relative:text">
            <v:textbox style="mso-next-textbox:#_x0000_s1026">
              <w:txbxContent>
                <w:p w:rsidR="00F66D92" w:rsidRDefault="00F66D92" w:rsidP="00F66D92">
                  <w:pPr>
                    <w:rPr>
                      <w:sz w:val="18"/>
                      <w:szCs w:val="18"/>
                    </w:rPr>
                  </w:pPr>
                  <w:r>
                    <w:rPr>
                      <w:i/>
                      <w:sz w:val="18"/>
                      <w:szCs w:val="18"/>
                    </w:rPr>
                    <w:t>Source:</w:t>
                  </w:r>
                  <w:r>
                    <w:rPr>
                      <w:sz w:val="18"/>
                      <w:szCs w:val="18"/>
                    </w:rPr>
                    <w:t xml:space="preserve"> CEPAL.</w:t>
                  </w:r>
                  <w:r w:rsidRPr="00DB50D1">
                    <w:rPr>
                      <w:color w:val="4F6228" w:themeColor="accent3" w:themeShade="80"/>
                      <w:sz w:val="18"/>
                      <w:szCs w:val="18"/>
                    </w:rPr>
                    <w:t xml:space="preserve"> </w:t>
                  </w:r>
                  <w:r w:rsidRPr="00DB50D1">
                    <w:rPr>
                      <w:color w:val="008A3E"/>
                      <w:sz w:val="18"/>
                      <w:szCs w:val="18"/>
                      <w:highlight w:val="darkGreen"/>
                    </w:rPr>
                    <w:t>..</w:t>
                  </w:r>
                  <w:r>
                    <w:rPr>
                      <w:color w:val="008A3E"/>
                      <w:sz w:val="18"/>
                      <w:szCs w:val="18"/>
                    </w:rPr>
                    <w:t xml:space="preserve"> </w:t>
                  </w:r>
                  <w:r>
                    <w:rPr>
                      <w:color w:val="000000" w:themeColor="text1"/>
                      <w:sz w:val="18"/>
                      <w:szCs w:val="18"/>
                    </w:rPr>
                    <w:t>= FDI</w:t>
                  </w:r>
                  <w:proofErr w:type="gramStart"/>
                  <w:r w:rsidRPr="00DB50D1">
                    <w:rPr>
                      <w:sz w:val="18"/>
                      <w:szCs w:val="18"/>
                    </w:rPr>
                    <w:t>,</w:t>
                  </w:r>
                  <w:r>
                    <w:rPr>
                      <w:color w:val="000000" w:themeColor="text1"/>
                      <w:sz w:val="18"/>
                      <w:szCs w:val="18"/>
                    </w:rPr>
                    <w:t xml:space="preserve"> </w:t>
                  </w:r>
                  <w:r w:rsidRPr="00DB50D1">
                    <w:rPr>
                      <w:color w:val="060CF8"/>
                      <w:sz w:val="18"/>
                      <w:szCs w:val="18"/>
                      <w:highlight w:val="darkBlue"/>
                    </w:rPr>
                    <w:t>..</w:t>
                  </w:r>
                  <w:proofErr w:type="gramEnd"/>
                  <w:r>
                    <w:rPr>
                      <w:sz w:val="18"/>
                      <w:szCs w:val="18"/>
                    </w:rPr>
                    <w:t xml:space="preserve"> = Portfolio Investment</w:t>
                  </w:r>
                  <w:proofErr w:type="gramStart"/>
                  <w:r>
                    <w:rPr>
                      <w:sz w:val="18"/>
                      <w:szCs w:val="18"/>
                    </w:rPr>
                    <w:t xml:space="preserve">, </w:t>
                  </w:r>
                  <w:r w:rsidRPr="000025E3">
                    <w:rPr>
                      <w:color w:val="FF33CC"/>
                      <w:sz w:val="18"/>
                      <w:szCs w:val="18"/>
                      <w:highlight w:val="magenta"/>
                    </w:rPr>
                    <w:t>..</w:t>
                  </w:r>
                  <w:proofErr w:type="gramEnd"/>
                  <w:r>
                    <w:rPr>
                      <w:sz w:val="18"/>
                      <w:szCs w:val="18"/>
                    </w:rPr>
                    <w:t>= Other Investment</w:t>
                  </w:r>
                  <w:proofErr w:type="gramStart"/>
                  <w:r>
                    <w:rPr>
                      <w:sz w:val="18"/>
                      <w:szCs w:val="18"/>
                    </w:rPr>
                    <w:t xml:space="preserve">, </w:t>
                  </w:r>
                  <w:r w:rsidRPr="001F2CAD">
                    <w:rPr>
                      <w:color w:val="FF0000"/>
                      <w:sz w:val="18"/>
                      <w:szCs w:val="18"/>
                      <w:highlight w:val="red"/>
                    </w:rPr>
                    <w:t>..</w:t>
                  </w:r>
                  <w:proofErr w:type="gramEnd"/>
                  <w:r>
                    <w:rPr>
                      <w:sz w:val="18"/>
                      <w:szCs w:val="18"/>
                    </w:rPr>
                    <w:t>= Mix of two different types</w:t>
                  </w:r>
                  <w:proofErr w:type="gramStart"/>
                  <w:r>
                    <w:rPr>
                      <w:sz w:val="18"/>
                      <w:szCs w:val="18"/>
                    </w:rPr>
                    <w:t xml:space="preserve">, </w:t>
                  </w:r>
                  <w:r w:rsidRPr="0014310E">
                    <w:rPr>
                      <w:color w:val="FFFF00"/>
                      <w:sz w:val="18"/>
                      <w:szCs w:val="18"/>
                      <w:highlight w:val="yellow"/>
                    </w:rPr>
                    <w:t>..</w:t>
                  </w:r>
                  <w:proofErr w:type="gramEnd"/>
                  <w:r>
                    <w:rPr>
                      <w:sz w:val="18"/>
                      <w:szCs w:val="18"/>
                    </w:rPr>
                    <w:t>= Mix of all three types</w:t>
                  </w:r>
                  <w:proofErr w:type="gramStart"/>
                  <w:r>
                    <w:rPr>
                      <w:sz w:val="18"/>
                      <w:szCs w:val="18"/>
                    </w:rPr>
                    <w:t>..</w:t>
                  </w:r>
                  <w:proofErr w:type="gramEnd"/>
                  <w:r>
                    <w:rPr>
                      <w:sz w:val="18"/>
                      <w:szCs w:val="18"/>
                    </w:rPr>
                    <w:t xml:space="preserve"> The data for Brazil is from 1985Q3 – 2017Q1, for Mexico is from 1986Q3 – 2016Q4, for Chile is from 1997Q3 – 2016Q4, for Colombia and Peru it is from 1999q3 – 2017q1. </w:t>
                  </w:r>
                </w:p>
              </w:txbxContent>
            </v:textbox>
          </v:shape>
        </w:pict>
      </w:r>
    </w:p>
    <w:p w:rsidR="00F66D92" w:rsidRDefault="00F66D92" w:rsidP="00F66D92"/>
    <w:p w:rsidR="00F66D92" w:rsidRDefault="00F66D92" w:rsidP="00F66D92"/>
    <w:p w:rsidR="00F66D92" w:rsidRDefault="00F66D92" w:rsidP="00F66D92">
      <w:r w:rsidRPr="00EB586A">
        <w:rPr>
          <w:b/>
        </w:rPr>
        <w:t>Brazil:</w:t>
      </w:r>
      <w:r w:rsidR="0014310E">
        <w:t xml:space="preserve"> 5 caused by mix of three, 5</w:t>
      </w:r>
      <w:r>
        <w:t xml:space="preserve"> caused by mix of two, 4 caused by other investment</w:t>
      </w:r>
    </w:p>
    <w:p w:rsidR="00F66D92" w:rsidRDefault="00F66D92" w:rsidP="00F66D92">
      <w:r w:rsidRPr="00EB586A">
        <w:rPr>
          <w:b/>
        </w:rPr>
        <w:t>Chile:</w:t>
      </w:r>
      <w:r w:rsidR="0014310E">
        <w:t xml:space="preserve"> 5 caused by mix of three, 1</w:t>
      </w:r>
      <w:r>
        <w:t xml:space="preserve"> caused by mix of two, 1 caused by FDI, 1 caused by portfolio investment and 1 caused by other investment</w:t>
      </w:r>
    </w:p>
    <w:p w:rsidR="00F66D92" w:rsidRDefault="00F66D92" w:rsidP="00F66D92">
      <w:r w:rsidRPr="00EB586A">
        <w:rPr>
          <w:b/>
        </w:rPr>
        <w:t>Colombia:</w:t>
      </w:r>
      <w:r>
        <w:t xml:space="preserve"> 1 caused by mix of three, 2 caused by mix of two, 3 caused by FDI, 1 caused by portfolio investment and 1 caused by other investment</w:t>
      </w:r>
    </w:p>
    <w:p w:rsidR="00F66D92" w:rsidRDefault="00F66D92" w:rsidP="00F66D92">
      <w:r w:rsidRPr="00EB586A">
        <w:rPr>
          <w:b/>
        </w:rPr>
        <w:t>Mexico:</w:t>
      </w:r>
      <w:r w:rsidR="0014310E">
        <w:t xml:space="preserve"> 4</w:t>
      </w:r>
      <w:r>
        <w:t xml:space="preserve"> caused by mix o</w:t>
      </w:r>
      <w:r w:rsidR="0014310E">
        <w:t xml:space="preserve">f three, 3 </w:t>
      </w:r>
      <w:r>
        <w:t>caused by mix of two, 1 caused by FDI, 2 caused by portfolio investment and 1 caused by other investment.</w:t>
      </w:r>
    </w:p>
    <w:p w:rsidR="00F66D92" w:rsidRDefault="00F66D92" w:rsidP="00F66D92">
      <w:r w:rsidRPr="00EB586A">
        <w:rPr>
          <w:b/>
        </w:rPr>
        <w:t>Total:</w:t>
      </w:r>
      <w:r w:rsidR="0014310E">
        <w:t xml:space="preserve"> 15</w:t>
      </w:r>
      <w:r>
        <w:t xml:space="preserve"> caused by mix of three, 1</w:t>
      </w:r>
      <w:r w:rsidR="0014310E">
        <w:t>0</w:t>
      </w:r>
      <w:r>
        <w:t xml:space="preserve"> caused by mix of two, 5 caused by FDI, 4 caused by portfolio investment and 7 caused by other investment.</w:t>
      </w:r>
    </w:p>
    <w:p w:rsidR="005C6055" w:rsidRDefault="0014310E">
      <w:r>
        <w:t xml:space="preserve">I assigned the blame in table one just by looking in the excel file: “Overview extreme movements”. Then I looked at the sheets for each country’s inflows and outflows, identified the extreme episode in the total flows and looked whether at the same time extreme episodes were happening in FDI, Portfolio Investment, and/or other investment. </w:t>
      </w:r>
      <w:r w:rsidR="00CD1FAA">
        <w:t xml:space="preserve">If there was only an extreme episode going on in, for example, FDI, I would say that the extreme episode was completely driven by FDI and attach the green color in table 1. If I would see that there was an extreme episode in FDI and Other investment I would attach the color red and say it is a mix of two different types etc </w:t>
      </w:r>
      <w:proofErr w:type="spellStart"/>
      <w:r w:rsidR="00CD1FAA">
        <w:t>etc</w:t>
      </w:r>
      <w:proofErr w:type="spellEnd"/>
      <w:r w:rsidR="00CD1FAA">
        <w:t xml:space="preserve">. </w:t>
      </w:r>
    </w:p>
    <w:p w:rsidR="005C6055" w:rsidRDefault="008107DC">
      <w:r>
        <w:t xml:space="preserve">Of course, the way I have attached blame to the extreme episodes is naïve and is just to give us an idea where to start. </w:t>
      </w:r>
      <w:r w:rsidR="005C6055">
        <w:t xml:space="preserve">Table 1 is just based on trying to blame an extreme period by looking whether at the same time the upper or lower limit is reached in one of the other flows. However, this is not completely accurate given that an extreme period within a flow is a </w:t>
      </w:r>
      <w:r w:rsidR="005C6055" w:rsidRPr="00CD1FAA">
        <w:rPr>
          <w:u w:val="single"/>
        </w:rPr>
        <w:t>relative result</w:t>
      </w:r>
      <w:r w:rsidR="005C6055">
        <w:t>. That is, it could well be that other investment re</w:t>
      </w:r>
      <w:r w:rsidR="00CD1FAA">
        <w:t>aches the upper limit and FDI does</w:t>
      </w:r>
      <w:r w:rsidR="005C6055">
        <w:t xml:space="preserve"> not but in absolute numbers the change in FDI is a lot bigger than </w:t>
      </w:r>
      <w:r w:rsidR="00CD1FAA">
        <w:t xml:space="preserve">in </w:t>
      </w:r>
      <w:r w:rsidR="005C6055">
        <w:t xml:space="preserve">other investment. In such a case you would blame other investment for causing the extreme period while in fact the changes in FDI have had a bigger </w:t>
      </w:r>
      <w:r w:rsidR="00CD1FAA">
        <w:t>contribution</w:t>
      </w:r>
      <w:r w:rsidR="005C6055">
        <w:t xml:space="preserve">. </w:t>
      </w:r>
    </w:p>
    <w:p w:rsidR="005C6055" w:rsidRDefault="005C6055">
      <w:r>
        <w:t>Therefore, for a more ‘</w:t>
      </w:r>
      <w:r w:rsidRPr="00CD1FAA">
        <w:rPr>
          <w:i/>
        </w:rPr>
        <w:t>precise blame</w:t>
      </w:r>
      <w:r>
        <w:t xml:space="preserve">’ I have calculated the shares in the YoY change in total flows for each individual flow. If </w:t>
      </w:r>
      <w:proofErr w:type="gramStart"/>
      <w:r>
        <w:t>total flows is</w:t>
      </w:r>
      <w:proofErr w:type="gramEnd"/>
      <w:r>
        <w:t xml:space="preserve"> denoted by </w:t>
      </w:r>
      <w:r>
        <w:rPr>
          <w:i/>
        </w:rPr>
        <w:t xml:space="preserve">Y </w:t>
      </w:r>
      <w:r>
        <w:t xml:space="preserve">and the individual flows by </w:t>
      </w:r>
      <w:r>
        <w:rPr>
          <w:i/>
        </w:rPr>
        <w:t xml:space="preserve">FDI, Portfolio </w:t>
      </w:r>
      <w:r>
        <w:t xml:space="preserve">and </w:t>
      </w:r>
      <w:r>
        <w:rPr>
          <w:i/>
        </w:rPr>
        <w:t xml:space="preserve">Other </w:t>
      </w:r>
      <w:r>
        <w:t>then the ‘</w:t>
      </w:r>
      <w:r w:rsidRPr="005C6055">
        <w:rPr>
          <w:i/>
        </w:rPr>
        <w:t>share in the blame</w:t>
      </w:r>
      <w:r>
        <w:t>’ for each individual flow can be calculated as follows:</w:t>
      </w:r>
    </w:p>
    <w:p w:rsidR="005C6055" w:rsidRDefault="005C6055">
      <w:pPr>
        <w:rPr>
          <w:i/>
        </w:rPr>
      </w:pPr>
      <w:r>
        <w:t>S</w:t>
      </w:r>
      <w:r>
        <w:rPr>
          <w:i/>
        </w:rPr>
        <w:t>hare in causing the extreme period in total flows by FDI = FDI/Y</w:t>
      </w:r>
    </w:p>
    <w:p w:rsidR="005C6055" w:rsidRDefault="005C6055" w:rsidP="005C6055">
      <w:pPr>
        <w:rPr>
          <w:i/>
        </w:rPr>
      </w:pPr>
      <w:r>
        <w:t>S</w:t>
      </w:r>
      <w:r>
        <w:rPr>
          <w:i/>
        </w:rPr>
        <w:t>hare in causing the extreme period in total flows by Portfolio Investment = Portfolio/Y</w:t>
      </w:r>
    </w:p>
    <w:p w:rsidR="005C6055" w:rsidRDefault="005C6055" w:rsidP="005C6055">
      <w:pPr>
        <w:rPr>
          <w:i/>
        </w:rPr>
      </w:pPr>
      <w:r>
        <w:rPr>
          <w:i/>
        </w:rPr>
        <w:t xml:space="preserve">Share in causing the extreme period in total flows by other investment = </w:t>
      </w:r>
      <w:proofErr w:type="gramStart"/>
      <w:r>
        <w:rPr>
          <w:i/>
        </w:rPr>
        <w:t>Other/</w:t>
      </w:r>
      <w:proofErr w:type="gramEnd"/>
      <w:r>
        <w:rPr>
          <w:i/>
        </w:rPr>
        <w:t>Y</w:t>
      </w:r>
    </w:p>
    <w:p w:rsidR="005C6055" w:rsidRDefault="00287744" w:rsidP="005C6055">
      <w:r>
        <w:lastRenderedPageBreak/>
        <w:t>This way of calculating is not ideal because it happens often that</w:t>
      </w:r>
      <w:r w:rsidR="00CD1FAA">
        <w:t>,</w:t>
      </w:r>
      <w:r>
        <w:t xml:space="preserve"> within an extreme period</w:t>
      </w:r>
      <w:r w:rsidR="00CD1FAA">
        <w:t>,</w:t>
      </w:r>
      <w:r>
        <w:t xml:space="preserve"> one type is actually contributing in a negative way so you can get weird </w:t>
      </w:r>
      <w:r w:rsidR="00CD1FAA">
        <w:t>shares like a sudden stop</w:t>
      </w:r>
      <w:r>
        <w:t xml:space="preserve"> is for .80 explained by FDI, 0.40 by portfolio Investment and -0.20 by </w:t>
      </w:r>
      <w:r w:rsidR="000E5340">
        <w:t xml:space="preserve">other investment. Anyhow, the numbers still give a clear indication which flow can be hold responsible for the extreme period. In the meantime we should think whether there is a more sophisticated way of calculating the blame. </w:t>
      </w:r>
    </w:p>
    <w:p w:rsidR="000E5340" w:rsidRPr="000E5340" w:rsidRDefault="000E5340" w:rsidP="005C6055">
      <w:pPr>
        <w:rPr>
          <w:b/>
        </w:rPr>
      </w:pPr>
      <w:r>
        <w:t xml:space="preserve">More importantly, we have to think of how we are going to assign </w:t>
      </w:r>
      <w:r w:rsidR="00CD1FAA">
        <w:t xml:space="preserve">the </w:t>
      </w:r>
      <w:r>
        <w:t xml:space="preserve">blame. An extreme period is happening over several quarters, by definition at least two, so we have to decide how we are going to assign the blame. Do we calculate the average share for each flow over the period in which the extreme period is occurring or do we compare the shares in each quarter and based on that we assign the blame? </w:t>
      </w:r>
      <w:r>
        <w:rPr>
          <w:b/>
        </w:rPr>
        <w:t>What do you think?</w:t>
      </w:r>
    </w:p>
    <w:p w:rsidR="000E5340" w:rsidRPr="005C6055" w:rsidRDefault="000E5340" w:rsidP="005C6055">
      <w:r>
        <w:t xml:space="preserve">Besides deciding how to calculate we also have to decide when we say the extreme period is driven by one specific flow, a mix of two or a mix of three. For example, if the shares are 0.10, 0.38 and 0.52, do we say that the extreme period is caused by all three (because they all contribute positively) or that it is caused by a mix of two or that it is only caused by the last one? </w:t>
      </w:r>
      <w:r>
        <w:rPr>
          <w:b/>
        </w:rPr>
        <w:t>What do you think?</w:t>
      </w:r>
    </w:p>
    <w:p w:rsidR="005C6055" w:rsidRDefault="00CD1FAA">
      <w:r>
        <w:t>I suggest you take a look at the new version of the file “Overview Extreme Movements” that I have sent to you. In each sheet of the inflows and outflows of each country you will find the share calculated for FDI, Portfolio and Other investment if you scroll to the complete right. Moreover, the numbers that are colored indicate that an extreme episode is going on at that moment in time. A red number means it is contributing negative to the episode and a green number means it is contributing positively. The share</w:t>
      </w:r>
      <w:r w:rsidR="00E46D9A">
        <w:t>s</w:t>
      </w:r>
      <w:r>
        <w:t xml:space="preserve"> that are in bold are the highest shares and therefore responsible for the episode. </w:t>
      </w:r>
    </w:p>
    <w:p w:rsidR="00F645C8" w:rsidRPr="00CD1FAA" w:rsidRDefault="00F645C8">
      <w:r>
        <w:t xml:space="preserve">@ Ricardo, if you could answer the questions in bold and come to my office so that we can discuss how to continue. I think that the shares are a step in right direction. We just have to think of a way how to represent it in succinct and clear manner in one table. </w:t>
      </w:r>
    </w:p>
    <w:sectPr w:rsidR="00F645C8" w:rsidRPr="00CD1FAA" w:rsidSect="00F66D92">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D92"/>
    <w:rsid w:val="000E5340"/>
    <w:rsid w:val="0014310E"/>
    <w:rsid w:val="001F0C67"/>
    <w:rsid w:val="00287744"/>
    <w:rsid w:val="005964CE"/>
    <w:rsid w:val="005C6055"/>
    <w:rsid w:val="005C73F3"/>
    <w:rsid w:val="00642AA4"/>
    <w:rsid w:val="006868F5"/>
    <w:rsid w:val="008107DC"/>
    <w:rsid w:val="00A53DC6"/>
    <w:rsid w:val="00A7478F"/>
    <w:rsid w:val="00C5410F"/>
    <w:rsid w:val="00CC7BBE"/>
    <w:rsid w:val="00CD1FAA"/>
    <w:rsid w:val="00E46D9A"/>
    <w:rsid w:val="00EE7238"/>
    <w:rsid w:val="00F206D2"/>
    <w:rsid w:val="00F645C8"/>
    <w:rsid w:val="00F66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9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D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574958">
      <w:bodyDiv w:val="1"/>
      <w:marLeft w:val="0"/>
      <w:marRight w:val="0"/>
      <w:marTop w:val="0"/>
      <w:marBottom w:val="0"/>
      <w:divBdr>
        <w:top w:val="none" w:sz="0" w:space="0" w:color="auto"/>
        <w:left w:val="none" w:sz="0" w:space="0" w:color="auto"/>
        <w:bottom w:val="none" w:sz="0" w:space="0" w:color="auto"/>
        <w:right w:val="none" w:sz="0" w:space="0" w:color="auto"/>
      </w:divBdr>
    </w:div>
    <w:div w:id="5818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3</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user7</cp:lastModifiedBy>
  <cp:revision>2</cp:revision>
  <dcterms:created xsi:type="dcterms:W3CDTF">2017-05-18T15:12:00Z</dcterms:created>
  <dcterms:modified xsi:type="dcterms:W3CDTF">2017-05-19T15:01:00Z</dcterms:modified>
</cp:coreProperties>
</file>