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9B1" w:rsidRPr="005E7FF9" w:rsidRDefault="009659B1" w:rsidP="009659B1">
      <w:pPr>
        <w:spacing w:after="0" w:line="240" w:lineRule="auto"/>
        <w:jc w:val="center"/>
        <w:rPr>
          <w:b/>
          <w:u w:val="single"/>
        </w:rPr>
      </w:pPr>
      <w:r w:rsidRPr="00276BEC">
        <w:rPr>
          <w:b/>
          <w:u w:val="single"/>
        </w:rPr>
        <w:t xml:space="preserve">Estimación de </w:t>
      </w:r>
      <w:r>
        <w:rPr>
          <w:b/>
          <w:u w:val="single"/>
        </w:rPr>
        <w:t>los determinantes de la inversión</w:t>
      </w:r>
      <w:r w:rsidRPr="00276BEC">
        <w:rPr>
          <w:b/>
          <w:u w:val="single"/>
        </w:rPr>
        <w:t xml:space="preserve"> </w:t>
      </w:r>
      <w:r>
        <w:rPr>
          <w:b/>
          <w:u w:val="single"/>
        </w:rPr>
        <w:t>para Estados Unidos</w:t>
      </w:r>
      <w:r w:rsidRPr="00276BEC">
        <w:rPr>
          <w:b/>
          <w:u w:val="single"/>
        </w:rPr>
        <w:t xml:space="preserve"> utilizando </w:t>
      </w:r>
    </w:p>
    <w:p w:rsidR="009659B1" w:rsidRPr="00276BEC" w:rsidRDefault="009659B1" w:rsidP="009659B1">
      <w:pPr>
        <w:spacing w:after="0" w:line="240" w:lineRule="auto"/>
        <w:jc w:val="center"/>
        <w:rPr>
          <w:b/>
          <w:u w:val="single"/>
        </w:rPr>
      </w:pPr>
      <w:r w:rsidRPr="00276BEC">
        <w:rPr>
          <w:b/>
          <w:u w:val="single"/>
        </w:rPr>
        <w:t>vectores auto regresivos estructurales</w:t>
      </w:r>
      <w:r w:rsidR="00287C54">
        <w:rPr>
          <w:b/>
          <w:u w:val="single"/>
        </w:rPr>
        <w:t xml:space="preserve"> y vector de corrección de errores</w:t>
      </w:r>
    </w:p>
    <w:p w:rsidR="009659B1" w:rsidRDefault="009659B1" w:rsidP="009659B1">
      <w:pPr>
        <w:spacing w:after="0"/>
      </w:pPr>
    </w:p>
    <w:p w:rsidR="009659B1" w:rsidRDefault="009659B1" w:rsidP="009659B1">
      <w:pPr>
        <w:spacing w:after="0"/>
      </w:pPr>
    </w:p>
    <w:p w:rsidR="009659B1" w:rsidRPr="00BD048C" w:rsidRDefault="009659B1" w:rsidP="009659B1">
      <w:pPr>
        <w:jc w:val="both"/>
        <w:rPr>
          <w:sz w:val="20"/>
        </w:rPr>
      </w:pPr>
      <w:r>
        <w:rPr>
          <w:sz w:val="20"/>
        </w:rPr>
        <w:t>Las siguientes estimaciones tienen como objetivo modelar el impacto de distintas variables macro-económicas sobre la inversión en Estados Unidos</w:t>
      </w:r>
      <w:r w:rsidR="006465E9">
        <w:rPr>
          <w:sz w:val="20"/>
        </w:rPr>
        <w:t>, Francia Y Canadá</w:t>
      </w:r>
      <w:r>
        <w:rPr>
          <w:sz w:val="20"/>
        </w:rPr>
        <w:t>. Para ello se utilizaron</w:t>
      </w:r>
      <w:r w:rsidRPr="00BD048C">
        <w:rPr>
          <w:sz w:val="20"/>
        </w:rPr>
        <w:t xml:space="preserve"> vectores </w:t>
      </w:r>
      <w:r>
        <w:rPr>
          <w:sz w:val="20"/>
        </w:rPr>
        <w:t>auto-</w:t>
      </w:r>
      <w:r w:rsidRPr="00BD048C">
        <w:rPr>
          <w:sz w:val="20"/>
        </w:rPr>
        <w:t>regresivos estructurales</w:t>
      </w:r>
      <w:r w:rsidR="00287C54">
        <w:rPr>
          <w:sz w:val="20"/>
        </w:rPr>
        <w:t xml:space="preserve"> sobre datos</w:t>
      </w:r>
      <w:r w:rsidR="00287C54" w:rsidRPr="00BD048C">
        <w:rPr>
          <w:sz w:val="20"/>
        </w:rPr>
        <w:t xml:space="preserve"> trimestrales</w:t>
      </w:r>
      <w:r w:rsidR="00287C54">
        <w:rPr>
          <w:sz w:val="20"/>
        </w:rPr>
        <w:t xml:space="preserve"> expresado</w:t>
      </w:r>
      <w:r w:rsidR="00287C54" w:rsidRPr="00BD048C">
        <w:rPr>
          <w:sz w:val="20"/>
        </w:rPr>
        <w:t>s en logaritmo</w:t>
      </w:r>
      <w:r w:rsidR="00287C54" w:rsidRPr="00BD048C">
        <w:rPr>
          <w:rStyle w:val="FootnoteReference"/>
          <w:sz w:val="20"/>
        </w:rPr>
        <w:footnoteReference w:id="1"/>
      </w:r>
      <w:r w:rsidR="00287C54">
        <w:rPr>
          <w:sz w:val="20"/>
        </w:rPr>
        <w:t xml:space="preserve">. Adicionalmente, se estimó la relación de causalidad a largo plazo entre inversión y beneficios mediante un modelo de corrección de errores. </w:t>
      </w:r>
      <w:r w:rsidRPr="00BD048C">
        <w:rPr>
          <w:sz w:val="20"/>
        </w:rPr>
        <w:t xml:space="preserve">Dada la restricción que impone la disponibilidad de </w:t>
      </w:r>
      <w:r>
        <w:rPr>
          <w:sz w:val="20"/>
        </w:rPr>
        <w:t>información</w:t>
      </w:r>
      <w:r w:rsidRPr="00BD048C">
        <w:rPr>
          <w:sz w:val="20"/>
        </w:rPr>
        <w:t>, la presente estimación comprende el periodo que va d</w:t>
      </w:r>
      <w:r>
        <w:rPr>
          <w:sz w:val="20"/>
        </w:rPr>
        <w:t>esde el primer trimestre de 1990 (1990-Q1</w:t>
      </w:r>
      <w:r w:rsidRPr="00BD048C">
        <w:rPr>
          <w:sz w:val="20"/>
        </w:rPr>
        <w:t xml:space="preserve">) al </w:t>
      </w:r>
      <w:r>
        <w:rPr>
          <w:sz w:val="20"/>
        </w:rPr>
        <w:t>cuarto trimestre de 2014 (2014-Q4</w:t>
      </w:r>
      <w:r w:rsidRPr="00BD048C">
        <w:rPr>
          <w:sz w:val="20"/>
        </w:rPr>
        <w:t>)</w:t>
      </w:r>
      <w:r w:rsidR="006465E9">
        <w:rPr>
          <w:sz w:val="20"/>
        </w:rPr>
        <w:t xml:space="preserve"> para Estados </w:t>
      </w:r>
      <w:r w:rsidR="009E6496">
        <w:rPr>
          <w:sz w:val="20"/>
        </w:rPr>
        <w:t>Unidos,</w:t>
      </w:r>
      <w:r w:rsidRPr="00BD048C">
        <w:rPr>
          <w:sz w:val="20"/>
        </w:rPr>
        <w:t xml:space="preserve"> </w:t>
      </w:r>
      <w:r w:rsidR="0062776B" w:rsidRPr="00BD048C">
        <w:rPr>
          <w:sz w:val="20"/>
        </w:rPr>
        <w:t>desde el tercer trimestre de 1992 (1992-Q3) al segu</w:t>
      </w:r>
      <w:r w:rsidR="0062776B">
        <w:rPr>
          <w:sz w:val="20"/>
        </w:rPr>
        <w:t xml:space="preserve">ndo trimestre de 2016 (2016-Q2) para Canadá, y </w:t>
      </w:r>
      <w:r w:rsidR="0062776B" w:rsidRPr="00BD048C">
        <w:rPr>
          <w:sz w:val="20"/>
        </w:rPr>
        <w:t>d</w:t>
      </w:r>
      <w:r w:rsidR="0062776B">
        <w:rPr>
          <w:sz w:val="20"/>
        </w:rPr>
        <w:t>esde el primer trimestre de 1999 (1999-Q1</w:t>
      </w:r>
      <w:r w:rsidR="0062776B" w:rsidRPr="00BD048C">
        <w:rPr>
          <w:sz w:val="20"/>
        </w:rPr>
        <w:t xml:space="preserve">) al </w:t>
      </w:r>
      <w:r w:rsidR="0062776B">
        <w:rPr>
          <w:sz w:val="20"/>
        </w:rPr>
        <w:t>primer trimestre de 2015 (2015-Q1</w:t>
      </w:r>
      <w:r w:rsidR="0062776B" w:rsidRPr="00BD048C">
        <w:rPr>
          <w:sz w:val="20"/>
        </w:rPr>
        <w:t>)</w:t>
      </w:r>
      <w:r w:rsidR="0062776B">
        <w:rPr>
          <w:sz w:val="20"/>
        </w:rPr>
        <w:t xml:space="preserve"> para Francia.</w:t>
      </w:r>
      <w:r w:rsidR="0062776B" w:rsidRPr="00BD048C">
        <w:rPr>
          <w:sz w:val="20"/>
        </w:rPr>
        <w:t xml:space="preserve"> </w:t>
      </w:r>
    </w:p>
    <w:p w:rsidR="009659B1" w:rsidRDefault="009659B1" w:rsidP="009659B1">
      <w:pPr>
        <w:jc w:val="both"/>
        <w:rPr>
          <w:sz w:val="20"/>
        </w:rPr>
      </w:pPr>
      <w:r>
        <w:rPr>
          <w:sz w:val="20"/>
        </w:rPr>
        <w:t>Las varia</w:t>
      </w:r>
      <w:r w:rsidR="00287C54">
        <w:rPr>
          <w:sz w:val="20"/>
        </w:rPr>
        <w:t>bles utilizadas en el modelo fueron</w:t>
      </w:r>
      <w:r>
        <w:rPr>
          <w:sz w:val="20"/>
        </w:rPr>
        <w:t xml:space="preserve"> seis</w:t>
      </w:r>
      <w:r w:rsidRPr="00BD048C">
        <w:rPr>
          <w:sz w:val="20"/>
        </w:rPr>
        <w:t>, cuatro de ellas (</w:t>
      </w:r>
      <w:r>
        <w:rPr>
          <w:sz w:val="20"/>
        </w:rPr>
        <w:t>‘’</w:t>
      </w:r>
      <w:r w:rsidRPr="00BD048C">
        <w:rPr>
          <w:sz w:val="20"/>
        </w:rPr>
        <w:t>Term Spread</w:t>
      </w:r>
      <w:r>
        <w:rPr>
          <w:sz w:val="20"/>
        </w:rPr>
        <w:t>’’</w:t>
      </w:r>
      <w:r w:rsidRPr="00BD048C">
        <w:rPr>
          <w:sz w:val="20"/>
        </w:rPr>
        <w:t xml:space="preserve"> (</w:t>
      </w:r>
      <w:r>
        <w:rPr>
          <w:sz w:val="20"/>
        </w:rPr>
        <w:t>diferencial entre tasas cortas y largas</w:t>
      </w:r>
      <w:r w:rsidRPr="00BD048C">
        <w:rPr>
          <w:sz w:val="20"/>
        </w:rPr>
        <w:t xml:space="preserve">), </w:t>
      </w:r>
      <w:r>
        <w:rPr>
          <w:sz w:val="20"/>
        </w:rPr>
        <w:t>‘’</w:t>
      </w:r>
      <w:r w:rsidRPr="00BD048C">
        <w:rPr>
          <w:sz w:val="20"/>
        </w:rPr>
        <w:t>Investment</w:t>
      </w:r>
      <w:r>
        <w:rPr>
          <w:sz w:val="20"/>
        </w:rPr>
        <w:t>’’</w:t>
      </w:r>
      <w:r w:rsidRPr="00BD048C">
        <w:rPr>
          <w:sz w:val="20"/>
        </w:rPr>
        <w:t xml:space="preserve"> (</w:t>
      </w:r>
      <w:r>
        <w:rPr>
          <w:sz w:val="20"/>
        </w:rPr>
        <w:t>formación bruta de capital fijo no residencial</w:t>
      </w:r>
      <w:r w:rsidRPr="00BD048C">
        <w:rPr>
          <w:sz w:val="20"/>
        </w:rPr>
        <w:t xml:space="preserve">), </w:t>
      </w:r>
      <w:r>
        <w:rPr>
          <w:sz w:val="20"/>
        </w:rPr>
        <w:t>‘’</w:t>
      </w:r>
      <w:r w:rsidRPr="00BD048C">
        <w:rPr>
          <w:sz w:val="20"/>
        </w:rPr>
        <w:t>Profits</w:t>
      </w:r>
      <w:r>
        <w:rPr>
          <w:sz w:val="20"/>
        </w:rPr>
        <w:t>’’</w:t>
      </w:r>
      <w:r w:rsidRPr="00BD048C">
        <w:rPr>
          <w:sz w:val="20"/>
        </w:rPr>
        <w:t xml:space="preserve"> (</w:t>
      </w:r>
      <w:r w:rsidR="00095F8F">
        <w:rPr>
          <w:sz w:val="20"/>
        </w:rPr>
        <w:t>beneficios operacionales no financieros</w:t>
      </w:r>
      <w:r w:rsidRPr="00BD048C">
        <w:rPr>
          <w:sz w:val="20"/>
        </w:rPr>
        <w:t xml:space="preserve">) y </w:t>
      </w:r>
      <w:r w:rsidR="00095F8F">
        <w:rPr>
          <w:sz w:val="20"/>
        </w:rPr>
        <w:t>‘’</w:t>
      </w:r>
      <w:r w:rsidRPr="00BD048C">
        <w:rPr>
          <w:sz w:val="20"/>
        </w:rPr>
        <w:t>Credit</w:t>
      </w:r>
      <w:r w:rsidR="00095F8F">
        <w:rPr>
          <w:sz w:val="20"/>
        </w:rPr>
        <w:t>’’</w:t>
      </w:r>
      <w:r w:rsidRPr="00BD048C">
        <w:rPr>
          <w:sz w:val="20"/>
        </w:rPr>
        <w:t xml:space="preserve"> (</w:t>
      </w:r>
      <w:r w:rsidR="00095F8F">
        <w:rPr>
          <w:sz w:val="20"/>
        </w:rPr>
        <w:t>crédito total a entidades no financieras</w:t>
      </w:r>
      <w:r w:rsidRPr="00BD048C">
        <w:rPr>
          <w:sz w:val="20"/>
        </w:rPr>
        <w:t>)) siguen la estructura del paper de Banjeree et. al (2015</w:t>
      </w:r>
      <w:r w:rsidR="00095F8F">
        <w:rPr>
          <w:sz w:val="20"/>
        </w:rPr>
        <w:t>), mientras que las otras dos (Tasa de política monetaria</w:t>
      </w:r>
      <w:r w:rsidRPr="00BD048C">
        <w:rPr>
          <w:sz w:val="20"/>
        </w:rPr>
        <w:t xml:space="preserve"> (</w:t>
      </w:r>
      <w:r w:rsidRPr="00BD048C">
        <w:rPr>
          <w:i/>
          <w:sz w:val="20"/>
        </w:rPr>
        <w:t>TPM</w:t>
      </w:r>
      <w:r w:rsidR="00095F8F">
        <w:rPr>
          <w:sz w:val="20"/>
        </w:rPr>
        <w:t>)</w:t>
      </w:r>
      <w:r w:rsidR="0062776B">
        <w:rPr>
          <w:sz w:val="20"/>
        </w:rPr>
        <w:t xml:space="preserve"> – Tasa de interés interbancaria para el caso de Francia –</w:t>
      </w:r>
      <w:r w:rsidR="00095F8F">
        <w:rPr>
          <w:sz w:val="20"/>
        </w:rPr>
        <w:t xml:space="preserve"> e importación de bienes de capital</w:t>
      </w:r>
      <w:r w:rsidRPr="00BD048C">
        <w:rPr>
          <w:sz w:val="20"/>
        </w:rPr>
        <w:t xml:space="preserve"> (</w:t>
      </w:r>
      <w:r w:rsidR="00095F8F">
        <w:rPr>
          <w:i/>
          <w:sz w:val="20"/>
        </w:rPr>
        <w:t>Imports</w:t>
      </w:r>
      <w:r w:rsidRPr="00BD048C">
        <w:rPr>
          <w:sz w:val="20"/>
        </w:rPr>
        <w:t>)) son adic</w:t>
      </w:r>
      <w:r w:rsidR="0062776B">
        <w:rPr>
          <w:sz w:val="20"/>
        </w:rPr>
        <w:t>iones de la presente estimación. Para Estados Unidos</w:t>
      </w:r>
      <w:r w:rsidR="00186BEF">
        <w:rPr>
          <w:sz w:val="20"/>
        </w:rPr>
        <w:t>,</w:t>
      </w:r>
      <w:r w:rsidR="0062776B">
        <w:rPr>
          <w:sz w:val="20"/>
        </w:rPr>
        <w:t xml:space="preserve"> estas dos últimas fueron</w:t>
      </w:r>
      <w:r w:rsidRPr="00BD048C">
        <w:rPr>
          <w:sz w:val="20"/>
        </w:rPr>
        <w:t xml:space="preserve"> obtenidas del International Finance Statistics (IMF) y </w:t>
      </w:r>
      <w:r>
        <w:rPr>
          <w:sz w:val="20"/>
        </w:rPr>
        <w:t>el Federal Reserve Bank of St. Louis</w:t>
      </w:r>
      <w:r w:rsidR="00186BEF">
        <w:rPr>
          <w:rStyle w:val="FootnoteReference"/>
          <w:sz w:val="20"/>
        </w:rPr>
        <w:footnoteReference w:id="2"/>
      </w:r>
      <w:r w:rsidRPr="00BD048C">
        <w:rPr>
          <w:sz w:val="20"/>
        </w:rPr>
        <w:t>, respectivamente.</w:t>
      </w:r>
      <w:r w:rsidR="0062776B">
        <w:rPr>
          <w:sz w:val="20"/>
        </w:rPr>
        <w:t xml:space="preserve"> Para Canadá, la importación de bienes de capital se construyó consultando a Statistics Canada</w:t>
      </w:r>
      <w:r w:rsidR="00186BEF">
        <w:rPr>
          <w:rStyle w:val="FootnoteReference"/>
          <w:sz w:val="20"/>
        </w:rPr>
        <w:footnoteReference w:id="3"/>
      </w:r>
      <w:r w:rsidR="00186BEF">
        <w:rPr>
          <w:sz w:val="20"/>
        </w:rPr>
        <w:t>, y para Francia, la Federal Reserve Bank of St. Louis (FRED) y Eurostat</w:t>
      </w:r>
      <w:r w:rsidR="00186BEF">
        <w:rPr>
          <w:rStyle w:val="FootnoteReference"/>
          <w:sz w:val="20"/>
        </w:rPr>
        <w:footnoteReference w:id="4"/>
      </w:r>
      <w:r w:rsidR="00186BEF">
        <w:rPr>
          <w:sz w:val="20"/>
        </w:rPr>
        <w:t xml:space="preserve"> se utilizaron como fuentes</w:t>
      </w:r>
      <w:r w:rsidR="00670408">
        <w:rPr>
          <w:sz w:val="20"/>
        </w:rPr>
        <w:t xml:space="preserve"> para ambas variables</w:t>
      </w:r>
      <w:r w:rsidR="00186BEF">
        <w:rPr>
          <w:sz w:val="20"/>
        </w:rPr>
        <w:t xml:space="preserve">. </w:t>
      </w:r>
    </w:p>
    <w:p w:rsidR="00710ADC" w:rsidRPr="00710ADC" w:rsidRDefault="00710ADC" w:rsidP="00710ADC">
      <w:pPr>
        <w:jc w:val="both"/>
        <w:rPr>
          <w:sz w:val="20"/>
        </w:rPr>
      </w:pPr>
      <w:r w:rsidRPr="00710ADC">
        <w:rPr>
          <w:sz w:val="20"/>
        </w:rPr>
        <w:t xml:space="preserve">Guiándonos </w:t>
      </w:r>
      <w:r>
        <w:rPr>
          <w:sz w:val="20"/>
        </w:rPr>
        <w:t>por las funciones de impulso-respuesta</w:t>
      </w:r>
      <w:r w:rsidRPr="00710ADC">
        <w:rPr>
          <w:sz w:val="20"/>
        </w:rPr>
        <w:t>,</w:t>
      </w:r>
      <w:r w:rsidR="00582283">
        <w:rPr>
          <w:sz w:val="20"/>
        </w:rPr>
        <w:t xml:space="preserve"> encontramos</w:t>
      </w:r>
      <w:r w:rsidRPr="00710ADC">
        <w:rPr>
          <w:sz w:val="20"/>
        </w:rPr>
        <w:t xml:space="preserve"> un impacto positivo de las utilidades sobre el nivel </w:t>
      </w:r>
      <w:r w:rsidR="006A61B0">
        <w:rPr>
          <w:sz w:val="20"/>
        </w:rPr>
        <w:t xml:space="preserve">de </w:t>
      </w:r>
      <w:r w:rsidR="00EB11BB">
        <w:rPr>
          <w:sz w:val="20"/>
        </w:rPr>
        <w:t>inversión</w:t>
      </w:r>
      <w:r w:rsidRPr="00710ADC">
        <w:rPr>
          <w:sz w:val="20"/>
        </w:rPr>
        <w:t xml:space="preserve">, efecto que </w:t>
      </w:r>
      <w:r w:rsidR="006A61B0">
        <w:rPr>
          <w:sz w:val="20"/>
        </w:rPr>
        <w:t xml:space="preserve">se replica para </w:t>
      </w:r>
      <w:r w:rsidR="00A65310">
        <w:rPr>
          <w:sz w:val="20"/>
        </w:rPr>
        <w:t>los tres países aquí analizados</w:t>
      </w:r>
      <w:r w:rsidRPr="00710ADC">
        <w:rPr>
          <w:sz w:val="20"/>
        </w:rPr>
        <w:t>. Por el contrario, la política monetaria, por medio de la Tasa de Política Monetaria o la diferencia entre las tasas cortas y largas (</w:t>
      </w:r>
      <w:r w:rsidR="006A61B0">
        <w:rPr>
          <w:sz w:val="20"/>
        </w:rPr>
        <w:t>‘’</w:t>
      </w:r>
      <w:r w:rsidRPr="00710ADC">
        <w:rPr>
          <w:sz w:val="20"/>
        </w:rPr>
        <w:t>Term Spread</w:t>
      </w:r>
      <w:r w:rsidR="006A61B0">
        <w:rPr>
          <w:sz w:val="20"/>
        </w:rPr>
        <w:t>’’</w:t>
      </w:r>
      <w:r w:rsidRPr="00710ADC">
        <w:rPr>
          <w:sz w:val="20"/>
        </w:rPr>
        <w:t>),</w:t>
      </w:r>
      <w:r w:rsidR="006A61B0">
        <w:rPr>
          <w:sz w:val="20"/>
        </w:rPr>
        <w:t xml:space="preserve"> al igual que el acceso al crédito,</w:t>
      </w:r>
      <w:r w:rsidRPr="00710ADC">
        <w:rPr>
          <w:sz w:val="20"/>
        </w:rPr>
        <w:t xml:space="preserve"> no encuentran un efecto estadísticamente significativo sobre los niveles de inversión.</w:t>
      </w:r>
      <w:r w:rsidR="00A65310">
        <w:rPr>
          <w:sz w:val="20"/>
        </w:rPr>
        <w:t xml:space="preserve"> Francia, por su parte, muestra </w:t>
      </w:r>
      <w:r w:rsidR="00592942">
        <w:rPr>
          <w:sz w:val="20"/>
        </w:rPr>
        <w:t>un resultado</w:t>
      </w:r>
      <w:r w:rsidR="00A65310">
        <w:rPr>
          <w:sz w:val="20"/>
        </w:rPr>
        <w:t xml:space="preserve"> </w:t>
      </w:r>
      <w:r w:rsidR="00592942">
        <w:rPr>
          <w:sz w:val="20"/>
        </w:rPr>
        <w:t>contra intuitivo, en el que</w:t>
      </w:r>
      <w:r w:rsidR="00A65310">
        <w:rPr>
          <w:sz w:val="20"/>
        </w:rPr>
        <w:t xml:space="preserve"> la tasa de interés interbancaria es la única variable </w:t>
      </w:r>
      <w:r w:rsidR="00592942">
        <w:rPr>
          <w:sz w:val="20"/>
        </w:rPr>
        <w:t xml:space="preserve">de tasa de interés </w:t>
      </w:r>
      <w:r w:rsidR="00A65310">
        <w:rPr>
          <w:sz w:val="20"/>
        </w:rPr>
        <w:t>que parece influir sobre la inversión, pero de forma positiva</w:t>
      </w:r>
      <w:r w:rsidR="00592942">
        <w:rPr>
          <w:sz w:val="20"/>
        </w:rPr>
        <w:t xml:space="preserve"> y recién desde el segundo </w:t>
      </w:r>
      <w:r w:rsidR="00592942">
        <w:rPr>
          <w:sz w:val="20"/>
        </w:rPr>
        <w:lastRenderedPageBreak/>
        <w:t>periodo</w:t>
      </w:r>
      <w:r w:rsidR="00C12348">
        <w:rPr>
          <w:rStyle w:val="FootnoteReference"/>
          <w:sz w:val="20"/>
        </w:rPr>
        <w:footnoteReference w:id="5"/>
      </w:r>
      <w:r w:rsidR="00A65310">
        <w:rPr>
          <w:sz w:val="20"/>
        </w:rPr>
        <w:t>. F</w:t>
      </w:r>
      <w:r w:rsidR="006D7E02">
        <w:rPr>
          <w:sz w:val="20"/>
        </w:rPr>
        <w:t>inalmente, encontramos un efecto negativo de los shocks a las importaciones de bienes de capital sobre la inversión</w:t>
      </w:r>
      <w:r w:rsidR="00A65310">
        <w:rPr>
          <w:sz w:val="20"/>
        </w:rPr>
        <w:t xml:space="preserve"> para el caso de Estados Unidos y Fancia, pero positivo para Canadá</w:t>
      </w:r>
      <w:r w:rsidR="006D7E02">
        <w:rPr>
          <w:sz w:val="20"/>
        </w:rPr>
        <w:t>.</w:t>
      </w:r>
      <w:r w:rsidR="00A65310">
        <w:rPr>
          <w:sz w:val="20"/>
        </w:rPr>
        <w:t xml:space="preserve"> </w:t>
      </w:r>
      <w:r w:rsidR="006D7E02">
        <w:rPr>
          <w:sz w:val="20"/>
        </w:rPr>
        <w:t xml:space="preserve"> </w:t>
      </w:r>
    </w:p>
    <w:p w:rsidR="006E53D2" w:rsidRDefault="00582283" w:rsidP="00287C54">
      <w:pPr>
        <w:jc w:val="both"/>
        <w:rPr>
          <w:sz w:val="20"/>
        </w:rPr>
      </w:pPr>
      <w:r>
        <w:rPr>
          <w:sz w:val="20"/>
        </w:rPr>
        <w:t>En cuanto a</w:t>
      </w:r>
      <w:r w:rsidR="00287C54">
        <w:rPr>
          <w:sz w:val="20"/>
        </w:rPr>
        <w:t xml:space="preserve"> la relación entre inversión y beneficios a largo plazo</w:t>
      </w:r>
      <w:r w:rsidR="00C27ED0">
        <w:rPr>
          <w:sz w:val="20"/>
        </w:rPr>
        <w:t>, observamos que el</w:t>
      </w:r>
      <w:r w:rsidR="00287C54">
        <w:rPr>
          <w:sz w:val="20"/>
        </w:rPr>
        <w:t xml:space="preserve"> modelo de vector de corrección de errores nos entrega una relación de causalidad unidireccional desde </w:t>
      </w:r>
      <w:r w:rsidR="00EB11BB">
        <w:rPr>
          <w:sz w:val="20"/>
        </w:rPr>
        <w:t>beneficios hacia inversión</w:t>
      </w:r>
      <w:r w:rsidR="00A65310">
        <w:rPr>
          <w:sz w:val="20"/>
        </w:rPr>
        <w:t xml:space="preserve"> para Estados Unidos</w:t>
      </w:r>
      <w:r w:rsidR="00C12348">
        <w:rPr>
          <w:sz w:val="20"/>
        </w:rPr>
        <w:t>, mientras que</w:t>
      </w:r>
      <w:r w:rsidR="00287C54">
        <w:rPr>
          <w:sz w:val="20"/>
        </w:rPr>
        <w:t xml:space="preserve"> </w:t>
      </w:r>
      <w:r w:rsidR="00C12348">
        <w:rPr>
          <w:sz w:val="20"/>
        </w:rPr>
        <w:t xml:space="preserve">para el caso de Francia y Canadá la relación causal de largo plazo es inversa: esta va de inversión a beneficios. </w:t>
      </w:r>
    </w:p>
    <w:p w:rsidR="006D7E02" w:rsidRPr="00710ADC" w:rsidRDefault="00582283" w:rsidP="006D7E02">
      <w:pPr>
        <w:jc w:val="both"/>
        <w:rPr>
          <w:sz w:val="20"/>
        </w:rPr>
      </w:pPr>
      <w:r>
        <w:rPr>
          <w:sz w:val="20"/>
        </w:rPr>
        <w:t xml:space="preserve">En conclusión, la evidencia se inclina por un efecto positivo y significativo por parte de los beneficios sobre la inversión, </w:t>
      </w:r>
      <w:r w:rsidR="00C12348">
        <w:rPr>
          <w:sz w:val="20"/>
        </w:rPr>
        <w:t>al menos en el corto plazo. Las</w:t>
      </w:r>
      <w:r>
        <w:rPr>
          <w:sz w:val="20"/>
        </w:rPr>
        <w:t xml:space="preserve"> variables de política monetaria y el acceso al crédito</w:t>
      </w:r>
      <w:r w:rsidR="00C12348">
        <w:rPr>
          <w:sz w:val="20"/>
        </w:rPr>
        <w:t>, por otro lado,</w:t>
      </w:r>
      <w:r>
        <w:rPr>
          <w:sz w:val="20"/>
        </w:rPr>
        <w:t xml:space="preserve"> no </w:t>
      </w:r>
      <w:r w:rsidR="00C27ED0">
        <w:rPr>
          <w:sz w:val="20"/>
        </w:rPr>
        <w:t>presentan un impacto significativo sobre la inversión</w:t>
      </w:r>
      <w:r>
        <w:rPr>
          <w:sz w:val="20"/>
        </w:rPr>
        <w:t>, al menos no para el periodo analizado.</w:t>
      </w:r>
      <w:r w:rsidR="006D7E02">
        <w:rPr>
          <w:sz w:val="20"/>
        </w:rPr>
        <w:t xml:space="preserve"> Finalmente, dado el </w:t>
      </w:r>
      <w:r w:rsidR="00C27ED0">
        <w:rPr>
          <w:sz w:val="20"/>
        </w:rPr>
        <w:t>efecto</w:t>
      </w:r>
      <w:r w:rsidR="006D7E02">
        <w:rPr>
          <w:sz w:val="20"/>
        </w:rPr>
        <w:t xml:space="preserve"> negativo de las importaciones sobre la inversión</w:t>
      </w:r>
      <w:r w:rsidR="00C12348">
        <w:rPr>
          <w:sz w:val="20"/>
        </w:rPr>
        <w:t xml:space="preserve"> para los casos de Estados Unidos y Francia</w:t>
      </w:r>
      <w:r w:rsidR="006D7E02">
        <w:rPr>
          <w:sz w:val="20"/>
        </w:rPr>
        <w:t xml:space="preserve">, </w:t>
      </w:r>
      <w:r w:rsidR="006D7E02" w:rsidRPr="006D7E02">
        <w:rPr>
          <w:sz w:val="20"/>
        </w:rPr>
        <w:t>podríamos pensar que la importación de bienes de capital sustituye a la inversión bruta de capital</w:t>
      </w:r>
      <w:r w:rsidR="006D7E02">
        <w:rPr>
          <w:sz w:val="20"/>
        </w:rPr>
        <w:t xml:space="preserve"> fijo </w:t>
      </w:r>
      <w:r w:rsidR="00C12348">
        <w:rPr>
          <w:sz w:val="20"/>
        </w:rPr>
        <w:t>en estos países, mientras que en Canadá podría darse el caso de una posible complementariedad entre ambas</w:t>
      </w:r>
      <w:r w:rsidR="006D7E02">
        <w:rPr>
          <w:sz w:val="20"/>
        </w:rPr>
        <w:t>.</w:t>
      </w:r>
    </w:p>
    <w:p w:rsidR="00582283" w:rsidRDefault="006D7E02" w:rsidP="00287C54">
      <w:pPr>
        <w:jc w:val="both"/>
        <w:rPr>
          <w:sz w:val="20"/>
        </w:rPr>
      </w:pPr>
      <w:r>
        <w:rPr>
          <w:sz w:val="20"/>
        </w:rPr>
        <w:t xml:space="preserve"> </w:t>
      </w:r>
    </w:p>
    <w:p w:rsidR="00813B33" w:rsidRDefault="00813B33" w:rsidP="00287C54">
      <w:pPr>
        <w:jc w:val="both"/>
        <w:rPr>
          <w:sz w:val="20"/>
        </w:rPr>
      </w:pPr>
    </w:p>
    <w:p w:rsidR="00582283" w:rsidRDefault="00582283" w:rsidP="00287C54">
      <w:pPr>
        <w:jc w:val="both"/>
        <w:rPr>
          <w:sz w:val="20"/>
        </w:rPr>
      </w:pPr>
    </w:p>
    <w:p w:rsidR="00582283" w:rsidRDefault="00582283" w:rsidP="00287C54">
      <w:pPr>
        <w:jc w:val="both"/>
        <w:rPr>
          <w:sz w:val="20"/>
        </w:rPr>
      </w:pPr>
    </w:p>
    <w:p w:rsidR="00582283" w:rsidRDefault="00582283" w:rsidP="00287C54">
      <w:pPr>
        <w:jc w:val="both"/>
        <w:rPr>
          <w:b/>
          <w:sz w:val="20"/>
        </w:rPr>
      </w:pPr>
      <w:r w:rsidRPr="00582283">
        <w:rPr>
          <w:b/>
          <w:noProof/>
          <w:sz w:val="20"/>
          <w:lang w:eastAsia="es-CL"/>
        </w:rPr>
        <w:lastRenderedPageBreak/>
        <w:drawing>
          <wp:inline distT="0" distB="0" distL="0" distR="0">
            <wp:extent cx="5943600" cy="646438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p>
    <w:p w:rsidR="0000039C" w:rsidRDefault="0000039C" w:rsidP="00287C54">
      <w:pPr>
        <w:jc w:val="both"/>
        <w:rPr>
          <w:b/>
          <w:sz w:val="20"/>
        </w:rPr>
      </w:pPr>
    </w:p>
    <w:p w:rsidR="0000039C" w:rsidRDefault="0000039C" w:rsidP="00287C54">
      <w:pPr>
        <w:jc w:val="both"/>
        <w:rPr>
          <w:b/>
          <w:sz w:val="20"/>
        </w:rPr>
      </w:pPr>
    </w:p>
    <w:p w:rsidR="0000039C" w:rsidRDefault="0000039C" w:rsidP="00287C54">
      <w:pPr>
        <w:jc w:val="both"/>
        <w:rPr>
          <w:b/>
          <w:sz w:val="20"/>
        </w:rPr>
      </w:pPr>
    </w:p>
    <w:p w:rsidR="0000039C" w:rsidRDefault="0000039C" w:rsidP="00287C54">
      <w:pPr>
        <w:jc w:val="both"/>
        <w:rPr>
          <w:b/>
          <w:sz w:val="20"/>
        </w:rPr>
      </w:pPr>
    </w:p>
    <w:p w:rsidR="0000039C" w:rsidRDefault="0000039C" w:rsidP="00287C54">
      <w:pPr>
        <w:jc w:val="both"/>
        <w:rPr>
          <w:b/>
          <w:sz w:val="20"/>
        </w:rPr>
      </w:pPr>
    </w:p>
    <w:p w:rsidR="0000039C" w:rsidRDefault="0000039C" w:rsidP="00287C54">
      <w:pPr>
        <w:jc w:val="both"/>
        <w:rPr>
          <w:b/>
          <w:sz w:val="20"/>
        </w:rPr>
      </w:pPr>
    </w:p>
    <w:p w:rsidR="0000039C" w:rsidRDefault="0000039C" w:rsidP="00287C54">
      <w:pPr>
        <w:jc w:val="both"/>
        <w:rPr>
          <w:b/>
          <w:sz w:val="20"/>
        </w:rPr>
      </w:pPr>
      <w:r>
        <w:rPr>
          <w:b/>
          <w:noProof/>
          <w:sz w:val="20"/>
          <w:lang w:eastAsia="es-CL"/>
        </w:rPr>
        <w:drawing>
          <wp:inline distT="0" distB="0" distL="0" distR="0">
            <wp:extent cx="5943600" cy="6265993"/>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p>
    <w:p w:rsidR="00582283" w:rsidRDefault="00582283" w:rsidP="00287C54">
      <w:pPr>
        <w:jc w:val="both"/>
        <w:rPr>
          <w:b/>
          <w:sz w:val="20"/>
        </w:rPr>
      </w:pPr>
    </w:p>
    <w:p w:rsidR="00592942" w:rsidRDefault="00592942" w:rsidP="00287C54">
      <w:pPr>
        <w:jc w:val="both"/>
        <w:rPr>
          <w:b/>
          <w:sz w:val="20"/>
        </w:rPr>
      </w:pPr>
    </w:p>
    <w:p w:rsidR="00592942" w:rsidRDefault="00592942" w:rsidP="00287C54">
      <w:pPr>
        <w:jc w:val="both"/>
        <w:rPr>
          <w:b/>
          <w:sz w:val="20"/>
        </w:rPr>
      </w:pPr>
    </w:p>
    <w:p w:rsidR="00592942" w:rsidRDefault="00592942" w:rsidP="00287C54">
      <w:pPr>
        <w:jc w:val="both"/>
        <w:rPr>
          <w:b/>
          <w:sz w:val="20"/>
        </w:rPr>
      </w:pPr>
    </w:p>
    <w:p w:rsidR="00592942" w:rsidRDefault="00592942" w:rsidP="00287C54">
      <w:pPr>
        <w:jc w:val="both"/>
        <w:rPr>
          <w:b/>
          <w:sz w:val="20"/>
        </w:rPr>
      </w:pPr>
    </w:p>
    <w:p w:rsidR="00592942" w:rsidRDefault="00592942" w:rsidP="00287C54">
      <w:pPr>
        <w:jc w:val="both"/>
        <w:rPr>
          <w:b/>
          <w:sz w:val="20"/>
        </w:rPr>
      </w:pPr>
      <w:r>
        <w:rPr>
          <w:b/>
          <w:noProof/>
          <w:sz w:val="20"/>
          <w:lang w:eastAsia="es-CL"/>
        </w:rPr>
        <w:lastRenderedPageBreak/>
        <w:drawing>
          <wp:inline distT="0" distB="0" distL="0" distR="0">
            <wp:extent cx="5943600" cy="602626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p>
    <w:p w:rsidR="00C27ED0" w:rsidRDefault="00C27ED0" w:rsidP="00287C54">
      <w:pPr>
        <w:jc w:val="both"/>
        <w:rPr>
          <w:b/>
          <w:sz w:val="20"/>
        </w:rPr>
      </w:pPr>
    </w:p>
    <w:p w:rsidR="00582283" w:rsidRDefault="00582283" w:rsidP="00287C54">
      <w:pPr>
        <w:jc w:val="both"/>
        <w:rPr>
          <w:b/>
          <w:sz w:val="20"/>
        </w:rPr>
      </w:pPr>
    </w:p>
    <w:p w:rsidR="007818B9" w:rsidRDefault="007818B9" w:rsidP="00287C54">
      <w:pPr>
        <w:jc w:val="both"/>
        <w:rPr>
          <w:b/>
          <w:sz w:val="20"/>
        </w:rPr>
      </w:pPr>
    </w:p>
    <w:p w:rsidR="007818B9" w:rsidRDefault="007818B9" w:rsidP="00287C54">
      <w:pPr>
        <w:jc w:val="both"/>
        <w:rPr>
          <w:sz w:val="20"/>
        </w:rPr>
      </w:pPr>
    </w:p>
    <w:p w:rsidR="00592942" w:rsidRDefault="00592942" w:rsidP="00287C54">
      <w:pPr>
        <w:jc w:val="both"/>
        <w:rPr>
          <w:b/>
          <w:sz w:val="24"/>
          <w:u w:val="single"/>
        </w:rPr>
      </w:pPr>
    </w:p>
    <w:p w:rsidR="00592942" w:rsidRDefault="00592942" w:rsidP="00287C54">
      <w:pPr>
        <w:jc w:val="both"/>
        <w:rPr>
          <w:b/>
          <w:sz w:val="24"/>
          <w:u w:val="single"/>
        </w:rPr>
      </w:pPr>
    </w:p>
    <w:p w:rsidR="00582283" w:rsidRPr="007818B9" w:rsidRDefault="007818B9" w:rsidP="00287C54">
      <w:pPr>
        <w:jc w:val="both"/>
        <w:rPr>
          <w:b/>
          <w:sz w:val="24"/>
          <w:u w:val="single"/>
        </w:rPr>
      </w:pPr>
      <w:r w:rsidRPr="007818B9">
        <w:rPr>
          <w:b/>
          <w:sz w:val="24"/>
          <w:u w:val="single"/>
        </w:rPr>
        <w:lastRenderedPageBreak/>
        <w:t>USA:</w:t>
      </w:r>
    </w:p>
    <w:p w:rsidR="004F69D5" w:rsidRDefault="00582283" w:rsidP="00582283">
      <w:pPr>
        <w:jc w:val="both"/>
        <w:rPr>
          <w:sz w:val="20"/>
        </w:rPr>
      </w:pPr>
      <w:r>
        <w:rPr>
          <w:noProof/>
          <w:sz w:val="20"/>
          <w:lang w:eastAsia="es-CL"/>
        </w:rPr>
        <w:drawing>
          <wp:inline distT="0" distB="0" distL="0" distR="0">
            <wp:extent cx="4648200" cy="3133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p>
    <w:p w:rsidR="004F69D5" w:rsidRPr="007818B9" w:rsidRDefault="004F69D5" w:rsidP="00582283">
      <w:pPr>
        <w:jc w:val="both"/>
        <w:rPr>
          <w:b/>
          <w:sz w:val="24"/>
          <w:u w:val="single"/>
        </w:rPr>
      </w:pPr>
      <w:r w:rsidRPr="007818B9">
        <w:rPr>
          <w:b/>
          <w:sz w:val="24"/>
          <w:u w:val="single"/>
        </w:rPr>
        <w:t>CANADA</w:t>
      </w:r>
      <w:r w:rsidR="007818B9" w:rsidRPr="007818B9">
        <w:rPr>
          <w:b/>
          <w:sz w:val="24"/>
          <w:u w:val="single"/>
        </w:rPr>
        <w:t>:</w:t>
      </w:r>
    </w:p>
    <w:p w:rsidR="004F69D5" w:rsidRDefault="004F69D5" w:rsidP="00582283">
      <w:pPr>
        <w:jc w:val="both"/>
        <w:rPr>
          <w:sz w:val="20"/>
        </w:rPr>
      </w:pPr>
      <w:r>
        <w:rPr>
          <w:noProof/>
          <w:sz w:val="20"/>
          <w:lang w:eastAsia="es-CL"/>
        </w:rPr>
        <w:drawing>
          <wp:inline distT="0" distB="0" distL="0" distR="0">
            <wp:extent cx="4657725" cy="3248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p>
    <w:p w:rsidR="004F69D5" w:rsidRDefault="004F69D5" w:rsidP="00582283">
      <w:pPr>
        <w:jc w:val="both"/>
        <w:rPr>
          <w:sz w:val="20"/>
        </w:rPr>
      </w:pPr>
    </w:p>
    <w:p w:rsidR="004F69D5" w:rsidRDefault="004F69D5" w:rsidP="00582283">
      <w:pPr>
        <w:jc w:val="both"/>
        <w:rPr>
          <w:sz w:val="20"/>
        </w:rPr>
      </w:pPr>
    </w:p>
    <w:p w:rsidR="009E6496" w:rsidRDefault="009E6496" w:rsidP="009E6496">
      <w:pPr>
        <w:jc w:val="both"/>
        <w:rPr>
          <w:sz w:val="20"/>
        </w:rPr>
      </w:pPr>
    </w:p>
    <w:p w:rsidR="006465E9" w:rsidRPr="009E6496" w:rsidRDefault="009E6496" w:rsidP="00582283">
      <w:pPr>
        <w:jc w:val="both"/>
        <w:rPr>
          <w:b/>
          <w:sz w:val="24"/>
          <w:u w:val="single"/>
        </w:rPr>
      </w:pPr>
      <w:r>
        <w:rPr>
          <w:b/>
          <w:sz w:val="24"/>
          <w:u w:val="single"/>
        </w:rPr>
        <w:lastRenderedPageBreak/>
        <w:t>FRANCIA</w:t>
      </w:r>
      <w:r w:rsidRPr="007818B9">
        <w:rPr>
          <w:b/>
          <w:sz w:val="24"/>
          <w:u w:val="single"/>
        </w:rPr>
        <w:t>:</w:t>
      </w:r>
    </w:p>
    <w:p w:rsidR="006465E9" w:rsidRDefault="006465E9" w:rsidP="00582283">
      <w:pPr>
        <w:jc w:val="both"/>
        <w:rPr>
          <w:sz w:val="20"/>
        </w:rPr>
      </w:pPr>
      <w:r>
        <w:rPr>
          <w:noProof/>
          <w:sz w:val="20"/>
          <w:lang w:eastAsia="es-CL"/>
        </w:rPr>
        <w:drawing>
          <wp:inline distT="0" distB="0" distL="0" distR="0">
            <wp:extent cx="4686300" cy="30765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p>
    <w:p w:rsidR="004F69D5" w:rsidRPr="00582283" w:rsidRDefault="004F69D5" w:rsidP="00582283">
      <w:pPr>
        <w:jc w:val="both"/>
        <w:rPr>
          <w:sz w:val="20"/>
        </w:rPr>
      </w:pPr>
    </w:p>
    <w:p w:rsidR="00801341" w:rsidRPr="007818B9" w:rsidRDefault="005A17AA" w:rsidP="0045632D">
      <w:pPr>
        <w:rPr>
          <w:b/>
          <w:sz w:val="24"/>
        </w:rPr>
      </w:pPr>
      <w:r w:rsidRPr="007818B9">
        <w:rPr>
          <w:b/>
          <w:sz w:val="24"/>
        </w:rPr>
        <w:t xml:space="preserve">(USA) </w:t>
      </w:r>
      <w:r w:rsidR="00801341" w:rsidRPr="007818B9">
        <w:rPr>
          <w:b/>
          <w:sz w:val="24"/>
        </w:rPr>
        <w:t>Correlación de las tasas de crecimiento:</w:t>
      </w:r>
    </w:p>
    <w:tbl>
      <w:tblPr>
        <w:tblW w:w="3773" w:type="dxa"/>
        <w:tblInd w:w="55" w:type="dxa"/>
        <w:tblCellMar>
          <w:left w:w="70" w:type="dxa"/>
          <w:right w:w="70" w:type="dxa"/>
        </w:tblCellMar>
        <w:tblLook w:val="04A0"/>
      </w:tblPr>
      <w:tblGrid>
        <w:gridCol w:w="1151"/>
        <w:gridCol w:w="1311"/>
        <w:gridCol w:w="1311"/>
      </w:tblGrid>
      <w:tr w:rsidR="00801341" w:rsidRPr="00801341" w:rsidTr="0045632D">
        <w:trPr>
          <w:trHeight w:val="315"/>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b/>
                <w:bCs/>
                <w:color w:val="000000"/>
                <w:lang w:eastAsia="es-CL"/>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Inversión</w:t>
            </w:r>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Beneficios</w:t>
            </w:r>
          </w:p>
        </w:tc>
      </w:tr>
      <w:tr w:rsidR="00801341" w:rsidRPr="00801341" w:rsidTr="0045632D">
        <w:trPr>
          <w:trHeight w:val="300"/>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Inversión</w:t>
            </w:r>
          </w:p>
        </w:tc>
        <w:tc>
          <w:tcPr>
            <w:tcW w:w="1311" w:type="dxa"/>
            <w:tcBorders>
              <w:top w:val="nil"/>
              <w:left w:val="nil"/>
              <w:bottom w:val="single" w:sz="4" w:space="0" w:color="auto"/>
              <w:right w:val="single" w:sz="4"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c>
          <w:tcPr>
            <w:tcW w:w="1311" w:type="dxa"/>
            <w:tcBorders>
              <w:top w:val="nil"/>
              <w:left w:val="nil"/>
              <w:bottom w:val="single" w:sz="4" w:space="0" w:color="auto"/>
              <w:right w:val="single" w:sz="8"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color w:val="000000"/>
                <w:lang w:eastAsia="es-CL"/>
              </w:rPr>
            </w:pPr>
            <w:r w:rsidRPr="00801341">
              <w:rPr>
                <w:rFonts w:ascii="Calibri" w:eastAsia="Times New Roman" w:hAnsi="Calibri" w:cs="Calibri"/>
                <w:color w:val="000000"/>
                <w:lang w:eastAsia="es-CL"/>
              </w:rPr>
              <w:t>0.275365029</w:t>
            </w:r>
          </w:p>
        </w:tc>
      </w:tr>
      <w:tr w:rsidR="00801341" w:rsidRPr="00801341" w:rsidTr="0045632D">
        <w:trPr>
          <w:trHeight w:val="315"/>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Beneficios</w:t>
            </w:r>
          </w:p>
        </w:tc>
        <w:tc>
          <w:tcPr>
            <w:tcW w:w="1311" w:type="dxa"/>
            <w:tcBorders>
              <w:top w:val="nil"/>
              <w:left w:val="nil"/>
              <w:bottom w:val="single" w:sz="8" w:space="0" w:color="auto"/>
              <w:right w:val="single" w:sz="4"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color w:val="000000"/>
                <w:lang w:eastAsia="es-CL"/>
              </w:rPr>
            </w:pPr>
            <w:r w:rsidRPr="00801341">
              <w:rPr>
                <w:rFonts w:ascii="Calibri" w:eastAsia="Times New Roman" w:hAnsi="Calibri" w:cs="Calibri"/>
                <w:color w:val="000000"/>
                <w:lang w:eastAsia="es-CL"/>
              </w:rPr>
              <w:t>0.275365029</w:t>
            </w:r>
          </w:p>
        </w:tc>
        <w:tc>
          <w:tcPr>
            <w:tcW w:w="1311" w:type="dxa"/>
            <w:tcBorders>
              <w:top w:val="nil"/>
              <w:left w:val="nil"/>
              <w:bottom w:val="single" w:sz="8" w:space="0" w:color="auto"/>
              <w:right w:val="single" w:sz="8" w:space="0" w:color="auto"/>
            </w:tcBorders>
            <w:shd w:val="clear" w:color="auto" w:fill="auto"/>
            <w:noWrap/>
            <w:vAlign w:val="bottom"/>
            <w:hideMark/>
          </w:tcPr>
          <w:p w:rsidR="00801341" w:rsidRPr="00801341" w:rsidRDefault="00801341" w:rsidP="0045632D">
            <w:pPr>
              <w:spacing w:after="0" w:line="240" w:lineRule="auto"/>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r>
    </w:tbl>
    <w:p w:rsidR="005A17AA" w:rsidRDefault="005A17AA" w:rsidP="00C27ED0">
      <w:pPr>
        <w:jc w:val="both"/>
        <w:rPr>
          <w:b/>
        </w:rPr>
      </w:pPr>
    </w:p>
    <w:p w:rsidR="005A17AA" w:rsidRPr="007818B9" w:rsidRDefault="005A17AA" w:rsidP="005A17AA">
      <w:pPr>
        <w:rPr>
          <w:b/>
          <w:sz w:val="24"/>
        </w:rPr>
      </w:pPr>
      <w:r w:rsidRPr="007818B9">
        <w:rPr>
          <w:b/>
          <w:sz w:val="24"/>
        </w:rPr>
        <w:t xml:space="preserve">(CANADA) Correlación de las tasas de </w:t>
      </w:r>
      <w:r w:rsidR="007818B9" w:rsidRPr="007818B9">
        <w:rPr>
          <w:b/>
          <w:sz w:val="24"/>
        </w:rPr>
        <w:t>crecimiento</w:t>
      </w:r>
    </w:p>
    <w:tbl>
      <w:tblPr>
        <w:tblW w:w="3773" w:type="dxa"/>
        <w:tblInd w:w="55" w:type="dxa"/>
        <w:tblCellMar>
          <w:left w:w="70" w:type="dxa"/>
          <w:right w:w="70" w:type="dxa"/>
        </w:tblCellMar>
        <w:tblLook w:val="04A0"/>
      </w:tblPr>
      <w:tblGrid>
        <w:gridCol w:w="1151"/>
        <w:gridCol w:w="1311"/>
        <w:gridCol w:w="1311"/>
      </w:tblGrid>
      <w:tr w:rsidR="007818B9" w:rsidRPr="00801341" w:rsidTr="00320263">
        <w:trPr>
          <w:trHeight w:val="315"/>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b/>
                <w:bCs/>
                <w:color w:val="000000"/>
                <w:lang w:eastAsia="es-CL"/>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Inversión</w:t>
            </w:r>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Beneficios</w:t>
            </w:r>
          </w:p>
        </w:tc>
      </w:tr>
      <w:tr w:rsidR="007818B9" w:rsidRPr="00801341" w:rsidTr="00320263">
        <w:trPr>
          <w:trHeight w:val="300"/>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Inversión</w:t>
            </w:r>
          </w:p>
        </w:tc>
        <w:tc>
          <w:tcPr>
            <w:tcW w:w="1311" w:type="dxa"/>
            <w:tcBorders>
              <w:top w:val="nil"/>
              <w:left w:val="nil"/>
              <w:bottom w:val="single" w:sz="4" w:space="0" w:color="auto"/>
              <w:right w:val="single" w:sz="4"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c>
          <w:tcPr>
            <w:tcW w:w="1311" w:type="dxa"/>
            <w:tcBorders>
              <w:top w:val="nil"/>
              <w:left w:val="nil"/>
              <w:bottom w:val="single" w:sz="4" w:space="0" w:color="auto"/>
              <w:right w:val="single" w:sz="8"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color w:val="000000"/>
                <w:lang w:eastAsia="es-CL"/>
              </w:rPr>
            </w:pPr>
            <w:r w:rsidRPr="005A17AA">
              <w:rPr>
                <w:rFonts w:ascii="Calibri" w:eastAsia="Times New Roman" w:hAnsi="Calibri" w:cs="Calibri"/>
                <w:color w:val="000000"/>
                <w:lang w:eastAsia="es-CL"/>
              </w:rPr>
              <w:t>0.414469</w:t>
            </w:r>
          </w:p>
        </w:tc>
      </w:tr>
      <w:tr w:rsidR="007818B9" w:rsidRPr="00801341" w:rsidTr="00320263">
        <w:trPr>
          <w:trHeight w:val="315"/>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Beneficios</w:t>
            </w:r>
          </w:p>
        </w:tc>
        <w:tc>
          <w:tcPr>
            <w:tcW w:w="1311" w:type="dxa"/>
            <w:tcBorders>
              <w:top w:val="nil"/>
              <w:left w:val="nil"/>
              <w:bottom w:val="single" w:sz="8" w:space="0" w:color="auto"/>
              <w:right w:val="single" w:sz="4"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color w:val="000000"/>
                <w:lang w:eastAsia="es-CL"/>
              </w:rPr>
            </w:pPr>
            <w:r w:rsidRPr="005A17AA">
              <w:rPr>
                <w:rFonts w:ascii="Calibri" w:eastAsia="Times New Roman" w:hAnsi="Calibri" w:cs="Calibri"/>
                <w:color w:val="000000"/>
                <w:lang w:eastAsia="es-CL"/>
              </w:rPr>
              <w:t>0.414469</w:t>
            </w:r>
          </w:p>
        </w:tc>
        <w:tc>
          <w:tcPr>
            <w:tcW w:w="1311" w:type="dxa"/>
            <w:tcBorders>
              <w:top w:val="nil"/>
              <w:left w:val="nil"/>
              <w:bottom w:val="single" w:sz="8" w:space="0" w:color="auto"/>
              <w:right w:val="single" w:sz="8" w:space="0" w:color="auto"/>
            </w:tcBorders>
            <w:shd w:val="clear" w:color="auto" w:fill="auto"/>
            <w:noWrap/>
            <w:vAlign w:val="bottom"/>
            <w:hideMark/>
          </w:tcPr>
          <w:p w:rsidR="007818B9" w:rsidRPr="00801341" w:rsidRDefault="007818B9" w:rsidP="00320263">
            <w:pPr>
              <w:spacing w:after="0" w:line="240" w:lineRule="auto"/>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r>
    </w:tbl>
    <w:p w:rsidR="005A17AA" w:rsidRPr="005A17AA" w:rsidRDefault="005A17AA" w:rsidP="005A17AA">
      <w:pPr>
        <w:autoSpaceDE w:val="0"/>
        <w:autoSpaceDN w:val="0"/>
        <w:adjustRightInd w:val="0"/>
        <w:spacing w:after="0" w:line="240" w:lineRule="auto"/>
        <w:rPr>
          <w:rFonts w:ascii="Arial" w:hAnsi="Arial" w:cs="Arial"/>
          <w:sz w:val="18"/>
          <w:szCs w:val="18"/>
        </w:rPr>
      </w:pPr>
    </w:p>
    <w:p w:rsidR="009E6496" w:rsidRDefault="005A17AA" w:rsidP="009E6496">
      <w:pPr>
        <w:rPr>
          <w:b/>
          <w:sz w:val="24"/>
        </w:rPr>
      </w:pPr>
      <w:r w:rsidRPr="005A17AA">
        <w:rPr>
          <w:rFonts w:ascii="Arial" w:hAnsi="Arial" w:cs="Arial"/>
          <w:sz w:val="18"/>
          <w:szCs w:val="18"/>
        </w:rPr>
        <w:br/>
      </w:r>
      <w:r w:rsidR="009E6496" w:rsidRPr="007818B9">
        <w:rPr>
          <w:b/>
          <w:sz w:val="24"/>
        </w:rPr>
        <w:t>(</w:t>
      </w:r>
      <w:r w:rsidR="009E6496">
        <w:rPr>
          <w:b/>
          <w:sz w:val="24"/>
        </w:rPr>
        <w:t>FRANCIA</w:t>
      </w:r>
      <w:r w:rsidR="009E6496" w:rsidRPr="007818B9">
        <w:rPr>
          <w:b/>
          <w:sz w:val="24"/>
        </w:rPr>
        <w:t>) Correlación de las tasas de crecimiento</w:t>
      </w:r>
    </w:p>
    <w:tbl>
      <w:tblPr>
        <w:tblW w:w="3773" w:type="dxa"/>
        <w:tblInd w:w="55" w:type="dxa"/>
        <w:tblCellMar>
          <w:left w:w="70" w:type="dxa"/>
          <w:right w:w="70" w:type="dxa"/>
        </w:tblCellMar>
        <w:tblLook w:val="04A0"/>
      </w:tblPr>
      <w:tblGrid>
        <w:gridCol w:w="1151"/>
        <w:gridCol w:w="1311"/>
        <w:gridCol w:w="1311"/>
      </w:tblGrid>
      <w:tr w:rsidR="009E6496" w:rsidRPr="00801341" w:rsidTr="00320263">
        <w:trPr>
          <w:trHeight w:val="315"/>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b/>
                <w:bCs/>
                <w:color w:val="000000"/>
                <w:lang w:eastAsia="es-CL"/>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Inversión</w:t>
            </w:r>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Beneficios</w:t>
            </w:r>
          </w:p>
        </w:tc>
      </w:tr>
      <w:tr w:rsidR="009E6496" w:rsidRPr="00801341" w:rsidTr="00320263">
        <w:trPr>
          <w:trHeight w:val="300"/>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Inversión</w:t>
            </w:r>
          </w:p>
        </w:tc>
        <w:tc>
          <w:tcPr>
            <w:tcW w:w="1311" w:type="dxa"/>
            <w:tcBorders>
              <w:top w:val="nil"/>
              <w:left w:val="nil"/>
              <w:bottom w:val="single" w:sz="4" w:space="0" w:color="auto"/>
              <w:right w:val="single" w:sz="4"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c>
          <w:tcPr>
            <w:tcW w:w="1311" w:type="dxa"/>
            <w:tcBorders>
              <w:top w:val="nil"/>
              <w:left w:val="nil"/>
              <w:bottom w:val="single" w:sz="4" w:space="0" w:color="auto"/>
              <w:right w:val="single" w:sz="8"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color w:val="000000"/>
                <w:lang w:eastAsia="es-CL"/>
              </w:rPr>
            </w:pPr>
            <w:r w:rsidRPr="009E6496">
              <w:rPr>
                <w:rFonts w:ascii="Calibri" w:eastAsia="Times New Roman" w:hAnsi="Calibri" w:cs="Calibri"/>
                <w:color w:val="000000"/>
                <w:lang w:eastAsia="es-CL"/>
              </w:rPr>
              <w:t>0.73079889</w:t>
            </w:r>
          </w:p>
        </w:tc>
      </w:tr>
      <w:tr w:rsidR="009E6496" w:rsidRPr="00801341" w:rsidTr="00320263">
        <w:trPr>
          <w:trHeight w:val="315"/>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i/>
                <w:iCs/>
                <w:color w:val="000000"/>
                <w:lang w:eastAsia="es-CL"/>
              </w:rPr>
            </w:pPr>
            <w:r w:rsidRPr="00801341">
              <w:rPr>
                <w:rFonts w:ascii="Calibri" w:eastAsia="Times New Roman" w:hAnsi="Calibri" w:cs="Calibri"/>
                <w:i/>
                <w:iCs/>
                <w:color w:val="000000"/>
                <w:lang w:eastAsia="es-CL"/>
              </w:rPr>
              <w:t>Beneficios</w:t>
            </w:r>
          </w:p>
        </w:tc>
        <w:tc>
          <w:tcPr>
            <w:tcW w:w="1311" w:type="dxa"/>
            <w:tcBorders>
              <w:top w:val="nil"/>
              <w:left w:val="nil"/>
              <w:bottom w:val="single" w:sz="8" w:space="0" w:color="auto"/>
              <w:right w:val="single" w:sz="4"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color w:val="000000"/>
                <w:lang w:eastAsia="es-CL"/>
              </w:rPr>
            </w:pPr>
            <w:r w:rsidRPr="009E6496">
              <w:rPr>
                <w:rFonts w:ascii="Calibri" w:eastAsia="Times New Roman" w:hAnsi="Calibri" w:cs="Calibri"/>
                <w:color w:val="000000"/>
                <w:lang w:eastAsia="es-CL"/>
              </w:rPr>
              <w:t>0.73079889</w:t>
            </w:r>
          </w:p>
        </w:tc>
        <w:tc>
          <w:tcPr>
            <w:tcW w:w="1311" w:type="dxa"/>
            <w:tcBorders>
              <w:top w:val="nil"/>
              <w:left w:val="nil"/>
              <w:bottom w:val="single" w:sz="8" w:space="0" w:color="auto"/>
              <w:right w:val="single" w:sz="8" w:space="0" w:color="auto"/>
            </w:tcBorders>
            <w:shd w:val="clear" w:color="auto" w:fill="auto"/>
            <w:noWrap/>
            <w:vAlign w:val="bottom"/>
            <w:hideMark/>
          </w:tcPr>
          <w:p w:rsidR="009E6496" w:rsidRPr="00801341" w:rsidRDefault="009E6496" w:rsidP="00320263">
            <w:pPr>
              <w:spacing w:after="0" w:line="240" w:lineRule="auto"/>
              <w:rPr>
                <w:rFonts w:ascii="Calibri" w:eastAsia="Times New Roman" w:hAnsi="Calibri" w:cs="Calibri"/>
                <w:color w:val="000000"/>
                <w:lang w:eastAsia="es-CL"/>
              </w:rPr>
            </w:pPr>
            <w:r w:rsidRPr="00801341">
              <w:rPr>
                <w:rFonts w:ascii="Calibri" w:eastAsia="Times New Roman" w:hAnsi="Calibri" w:cs="Calibri"/>
                <w:color w:val="000000"/>
                <w:lang w:eastAsia="es-CL"/>
              </w:rPr>
              <w:t>1</w:t>
            </w:r>
          </w:p>
        </w:tc>
      </w:tr>
    </w:tbl>
    <w:p w:rsidR="009E6496" w:rsidRDefault="009E6496" w:rsidP="009E6496">
      <w:pPr>
        <w:rPr>
          <w:b/>
          <w:sz w:val="24"/>
        </w:rPr>
      </w:pPr>
    </w:p>
    <w:p w:rsidR="009E6496" w:rsidRDefault="009E6496" w:rsidP="009E6496">
      <w:pPr>
        <w:rPr>
          <w:b/>
          <w:sz w:val="24"/>
        </w:rPr>
      </w:pPr>
    </w:p>
    <w:p w:rsidR="00801341" w:rsidRPr="00F60107" w:rsidRDefault="00AE5004" w:rsidP="00C27ED0">
      <w:pPr>
        <w:jc w:val="both"/>
        <w:rPr>
          <w:b/>
        </w:rPr>
      </w:pPr>
      <w:r w:rsidRPr="00F60107">
        <w:rPr>
          <w:b/>
        </w:rPr>
        <w:lastRenderedPageBreak/>
        <w:t>Explicación econométrica para la obtención de las funciones de impulso-respuesta (me imagino que se puede omitir, pero lo dejo porsiacaso):</w:t>
      </w:r>
    </w:p>
    <w:p w:rsidR="00AE5004" w:rsidRPr="00AE5004" w:rsidRDefault="00AE5004" w:rsidP="00AE5004">
      <w:pPr>
        <w:jc w:val="both"/>
        <w:rPr>
          <w:sz w:val="18"/>
        </w:rPr>
      </w:pPr>
      <w:r w:rsidRPr="00AE5004">
        <w:rPr>
          <w:sz w:val="18"/>
        </w:rPr>
        <w:t xml:space="preserve">El </w:t>
      </w:r>
      <w:r w:rsidR="006465E9">
        <w:rPr>
          <w:sz w:val="18"/>
        </w:rPr>
        <w:t xml:space="preserve">primer </w:t>
      </w:r>
      <w:r w:rsidRPr="00AE5004">
        <w:rPr>
          <w:sz w:val="18"/>
        </w:rPr>
        <w:t>gráfico</w:t>
      </w:r>
      <w:r w:rsidR="0000039C">
        <w:rPr>
          <w:sz w:val="18"/>
        </w:rPr>
        <w:t xml:space="preserve"> (USA)</w:t>
      </w:r>
      <w:r w:rsidRPr="00AE5004">
        <w:rPr>
          <w:sz w:val="18"/>
        </w:rPr>
        <w:t xml:space="preserve"> corresponde a la estimación de funciones de impulso-respuesta para Estados Unidos, utilizando datos trimestrales y en logaritmo, para el periodo comprendido entre 1990Q1 y 2014Q4. El modelo utilizado es un VAR estructural (SVAR), donde la única variable que afecta contemporáneamente a los beneficios es el diferencial de tasas cortas y largas (‘’Term Spread’’). Todo el resto de los shocks contemporáneos hacia los beneficios fueron restringidos a cero para calcular las funciones de impulso-respuesta mediante una descomposición estructural dada por la teoría económica al respecto. El VAR subyacente al modelo SVAR se estimó en niveles, aún cuando las series sean de un orden superior a cero, esto con el fin de no perder información para establecer las relaciones entre las variables, que es lo que aquí nos interesa. </w:t>
      </w:r>
    </w:p>
    <w:p w:rsidR="00AE5004" w:rsidRDefault="00AE5004" w:rsidP="00AE5004">
      <w:pPr>
        <w:jc w:val="both"/>
        <w:rPr>
          <w:sz w:val="18"/>
        </w:rPr>
      </w:pPr>
      <w:r w:rsidRPr="00AE5004">
        <w:rPr>
          <w:sz w:val="18"/>
        </w:rPr>
        <w:t xml:space="preserve">Especificamos el modelo con dos rezagos siguiendo como primera aproximación el criterio de Hannan-Quinn (HQ), en primer lugar porque no es nuestra intención predecir, sino ajustar de la mejor forma posible la información disponible al modelo verdadero, y en segundo lugar, porque de acuerdo a la literatura empírica, el criterio HQ parece dar buenos resultados para la cantidad de datos con los que contamos (Lütkepohl, 2005). Como segundo criterio de especificación comprobamos la ausencia de autocorrelación y heterocedasticidad mediante los test de autocorrelación LM y heterocedasticidad de White, respectivamente, obteniendo mayor robustez para la elección de dos rezagos.  </w:t>
      </w:r>
    </w:p>
    <w:p w:rsidR="00592942" w:rsidRPr="00AE5004" w:rsidRDefault="00592942" w:rsidP="00AE5004">
      <w:pPr>
        <w:jc w:val="both"/>
        <w:rPr>
          <w:sz w:val="18"/>
        </w:rPr>
      </w:pPr>
      <w:r>
        <w:rPr>
          <w:sz w:val="18"/>
        </w:rPr>
        <w:t>Este mismo procedimiento se replica para los casos de Canadá y Francia.</w:t>
      </w:r>
    </w:p>
    <w:p w:rsidR="00AE5004" w:rsidRPr="00AE5004" w:rsidRDefault="00F60107" w:rsidP="00AE5004">
      <w:pPr>
        <w:jc w:val="both"/>
        <w:rPr>
          <w:sz w:val="18"/>
        </w:rPr>
      </w:pPr>
      <w:r>
        <w:rPr>
          <w:rFonts w:ascii="Arial" w:hAnsi="Arial" w:cs="Arial"/>
          <w:b/>
          <w:bCs/>
          <w:color w:val="333333"/>
          <w:sz w:val="18"/>
          <w:szCs w:val="21"/>
          <w:shd w:val="clear" w:color="auto" w:fill="FFFFFF"/>
          <w:lang w:val="en-US"/>
        </w:rPr>
        <w:t>Cita</w:t>
      </w:r>
      <w:r w:rsidR="00AE5004" w:rsidRPr="00AE5004">
        <w:rPr>
          <w:rFonts w:ascii="Arial" w:hAnsi="Arial" w:cs="Arial"/>
          <w:b/>
          <w:bCs/>
          <w:color w:val="333333"/>
          <w:sz w:val="18"/>
          <w:szCs w:val="21"/>
          <w:shd w:val="clear" w:color="auto" w:fill="FFFFFF"/>
          <w:lang w:val="en-US"/>
        </w:rPr>
        <w:t>: Lütkepohl, H. (2005).</w:t>
      </w:r>
      <w:r w:rsidR="00AE5004" w:rsidRPr="00AE5004">
        <w:rPr>
          <w:rStyle w:val="apple-converted-space"/>
          <w:rFonts w:ascii="Arial" w:hAnsi="Arial" w:cs="Arial"/>
          <w:b/>
          <w:bCs/>
          <w:color w:val="333333"/>
          <w:sz w:val="18"/>
          <w:szCs w:val="21"/>
          <w:shd w:val="clear" w:color="auto" w:fill="FFFFFF"/>
          <w:lang w:val="en-US"/>
        </w:rPr>
        <w:t> </w:t>
      </w:r>
      <w:r w:rsidR="00AE5004" w:rsidRPr="00AE5004">
        <w:rPr>
          <w:rFonts w:ascii="Arial" w:hAnsi="Arial" w:cs="Arial"/>
          <w:b/>
          <w:bCs/>
          <w:i/>
          <w:iCs/>
          <w:color w:val="333333"/>
          <w:sz w:val="18"/>
          <w:szCs w:val="21"/>
          <w:shd w:val="clear" w:color="auto" w:fill="FFFFFF"/>
          <w:lang w:val="en-US"/>
        </w:rPr>
        <w:t>New introduction to multiple time series analysis</w:t>
      </w:r>
      <w:r w:rsidR="00AE5004" w:rsidRPr="00AE5004">
        <w:rPr>
          <w:rFonts w:ascii="Arial" w:hAnsi="Arial" w:cs="Arial"/>
          <w:b/>
          <w:bCs/>
          <w:color w:val="333333"/>
          <w:sz w:val="18"/>
          <w:szCs w:val="21"/>
          <w:shd w:val="clear" w:color="auto" w:fill="FFFFFF"/>
          <w:lang w:val="en-US"/>
        </w:rPr>
        <w:t xml:space="preserve">. </w:t>
      </w:r>
      <w:r w:rsidR="00AE5004" w:rsidRPr="00AE5004">
        <w:rPr>
          <w:rFonts w:ascii="Arial" w:hAnsi="Arial" w:cs="Arial"/>
          <w:b/>
          <w:bCs/>
          <w:color w:val="333333"/>
          <w:sz w:val="18"/>
          <w:szCs w:val="21"/>
          <w:shd w:val="clear" w:color="auto" w:fill="FFFFFF"/>
        </w:rPr>
        <w:t>Springer.</w:t>
      </w:r>
    </w:p>
    <w:p w:rsidR="00AE5004" w:rsidRPr="00710ADC" w:rsidRDefault="00AE5004" w:rsidP="00C27ED0">
      <w:pPr>
        <w:jc w:val="both"/>
        <w:rPr>
          <w:sz w:val="20"/>
        </w:rPr>
      </w:pPr>
    </w:p>
    <w:sectPr w:rsidR="00AE5004" w:rsidRPr="00710ADC" w:rsidSect="006E53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4C9" w:rsidRDefault="006834C9" w:rsidP="009659B1">
      <w:pPr>
        <w:spacing w:after="0" w:line="240" w:lineRule="auto"/>
      </w:pPr>
      <w:r>
        <w:separator/>
      </w:r>
    </w:p>
  </w:endnote>
  <w:endnote w:type="continuationSeparator" w:id="0">
    <w:p w:rsidR="006834C9" w:rsidRDefault="006834C9" w:rsidP="00965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4C9" w:rsidRDefault="006834C9" w:rsidP="009659B1">
      <w:pPr>
        <w:spacing w:after="0" w:line="240" w:lineRule="auto"/>
      </w:pPr>
      <w:r>
        <w:separator/>
      </w:r>
    </w:p>
  </w:footnote>
  <w:footnote w:type="continuationSeparator" w:id="0">
    <w:p w:rsidR="006834C9" w:rsidRDefault="006834C9" w:rsidP="009659B1">
      <w:pPr>
        <w:spacing w:after="0" w:line="240" w:lineRule="auto"/>
      </w:pPr>
      <w:r>
        <w:continuationSeparator/>
      </w:r>
    </w:p>
  </w:footnote>
  <w:footnote w:id="1">
    <w:p w:rsidR="00287C54" w:rsidRDefault="00287C54" w:rsidP="00287C54">
      <w:pPr>
        <w:pStyle w:val="FootnoteText"/>
        <w:rPr>
          <w:sz w:val="18"/>
        </w:rPr>
      </w:pPr>
      <w:r w:rsidRPr="0062776B">
        <w:rPr>
          <w:rStyle w:val="FootnoteReference"/>
          <w:sz w:val="18"/>
        </w:rPr>
        <w:footnoteRef/>
      </w:r>
      <w:r w:rsidRPr="0062776B">
        <w:rPr>
          <w:sz w:val="18"/>
        </w:rPr>
        <w:t xml:space="preserve"> Las variables de tasas de interés se dejaron expresadas como porcentaje y las importaciones de bienes de capital se dejaron como índice (2009=100).</w:t>
      </w:r>
    </w:p>
    <w:p w:rsidR="00C12348" w:rsidRPr="0062776B" w:rsidRDefault="00C12348" w:rsidP="00287C54">
      <w:pPr>
        <w:pStyle w:val="FootnoteText"/>
        <w:rPr>
          <w:sz w:val="18"/>
        </w:rPr>
      </w:pPr>
    </w:p>
  </w:footnote>
  <w:footnote w:id="2">
    <w:p w:rsidR="00186BEF" w:rsidRDefault="00186BEF" w:rsidP="00186BEF">
      <w:pPr>
        <w:pStyle w:val="FootnoteText"/>
        <w:jc w:val="both"/>
        <w:rPr>
          <w:sz w:val="18"/>
        </w:rPr>
      </w:pPr>
      <w:r>
        <w:rPr>
          <w:rStyle w:val="FootnoteReference"/>
        </w:rPr>
        <w:footnoteRef/>
      </w:r>
      <w:r>
        <w:t xml:space="preserve"> </w:t>
      </w:r>
      <w:r w:rsidRPr="00186BEF">
        <w:rPr>
          <w:sz w:val="18"/>
        </w:rPr>
        <w:t xml:space="preserve">Para Estados Unidos, las importaciones consideradas son bienes de capital (excepto del sector automotor) – de acuerdo al criterio del FRED; expresados en un índice – no en logaritmo – donde 2009 = 100. La serie es trimestral y desestacionalizada. </w:t>
      </w:r>
    </w:p>
    <w:p w:rsidR="00C12348" w:rsidRPr="00186BEF" w:rsidRDefault="00C12348" w:rsidP="00186BEF">
      <w:pPr>
        <w:pStyle w:val="FootnoteText"/>
        <w:jc w:val="both"/>
        <w:rPr>
          <w:sz w:val="22"/>
        </w:rPr>
      </w:pPr>
    </w:p>
  </w:footnote>
  <w:footnote w:id="3">
    <w:p w:rsidR="00186BEF" w:rsidRDefault="00186BEF" w:rsidP="00186BEF">
      <w:pPr>
        <w:pStyle w:val="FootnoteText"/>
        <w:jc w:val="both"/>
        <w:rPr>
          <w:sz w:val="18"/>
        </w:rPr>
      </w:pPr>
      <w:r>
        <w:rPr>
          <w:rStyle w:val="FootnoteReference"/>
        </w:rPr>
        <w:footnoteRef/>
      </w:r>
      <w:r w:rsidRPr="00186BEF">
        <w:rPr>
          <w:sz w:val="18"/>
        </w:rPr>
        <w:t xml:space="preserve"> Para Canadá, las importaciones que se consideraron como bienes de capital fueron obtenidas del sistema de clasificación NAPCS (North American Product Classification System),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p>
    <w:p w:rsidR="00C12348" w:rsidRPr="00186BEF" w:rsidRDefault="00C12348" w:rsidP="00186BEF">
      <w:pPr>
        <w:pStyle w:val="FootnoteText"/>
        <w:jc w:val="both"/>
        <w:rPr>
          <w:sz w:val="22"/>
        </w:rPr>
      </w:pPr>
    </w:p>
  </w:footnote>
  <w:footnote w:id="4">
    <w:p w:rsidR="00186BEF" w:rsidRPr="00186BEF" w:rsidRDefault="00186BEF" w:rsidP="00186BEF">
      <w:pPr>
        <w:spacing w:after="0" w:line="240" w:lineRule="auto"/>
        <w:jc w:val="both"/>
        <w:rPr>
          <w:sz w:val="18"/>
          <w:szCs w:val="18"/>
        </w:rPr>
      </w:pPr>
      <w:r w:rsidRPr="00186BEF">
        <w:rPr>
          <w:rStyle w:val="FootnoteReference"/>
          <w:sz w:val="18"/>
          <w:szCs w:val="18"/>
        </w:rPr>
        <w:footnoteRef/>
      </w:r>
      <w:r w:rsidRPr="00186BEF">
        <w:rPr>
          <w:sz w:val="18"/>
          <w:szCs w:val="18"/>
        </w:rPr>
        <w:t xml:space="preserve"> Para Francia, las importaciones consideradas son bienes de capital y bienes intermedios – de acuerdo al criterio de Eurostat (NACE rev. 2); expresados en un índice – no en logaritmo – donde 2010 = 100. La serie original es mensual y no desestacionalizada, por lo que se tomó el promedio simple de cada tres meses para transformarla a una serie trimestral. </w:t>
      </w:r>
    </w:p>
    <w:p w:rsidR="00186BEF" w:rsidRPr="00186BEF" w:rsidRDefault="00186BEF">
      <w:pPr>
        <w:pStyle w:val="FootnoteText"/>
      </w:pPr>
    </w:p>
  </w:footnote>
  <w:footnote w:id="5">
    <w:p w:rsidR="00C12348" w:rsidRPr="00C12348" w:rsidRDefault="00C12348">
      <w:pPr>
        <w:pStyle w:val="FootnoteText"/>
      </w:pPr>
      <w:r w:rsidRPr="00C12348">
        <w:rPr>
          <w:sz w:val="18"/>
          <w:szCs w:val="18"/>
        </w:rPr>
        <w:footnoteRef/>
      </w:r>
      <w:r w:rsidRPr="00C12348">
        <w:rPr>
          <w:sz w:val="18"/>
          <w:szCs w:val="18"/>
        </w:rPr>
        <w:t xml:space="preserve"> Una posible explicación es que el modelo SVAR no logre distinguir la doble causalidad entre ambas variables</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659B1"/>
    <w:rsid w:val="0000039C"/>
    <w:rsid w:val="00095F8F"/>
    <w:rsid w:val="00186BEF"/>
    <w:rsid w:val="00287C54"/>
    <w:rsid w:val="0045632D"/>
    <w:rsid w:val="004F69D5"/>
    <w:rsid w:val="00582283"/>
    <w:rsid w:val="00592942"/>
    <w:rsid w:val="005A17AA"/>
    <w:rsid w:val="005D0238"/>
    <w:rsid w:val="0062776B"/>
    <w:rsid w:val="006465E9"/>
    <w:rsid w:val="00670408"/>
    <w:rsid w:val="006834C9"/>
    <w:rsid w:val="006A61B0"/>
    <w:rsid w:val="006D7E02"/>
    <w:rsid w:val="006E53D2"/>
    <w:rsid w:val="00710ADC"/>
    <w:rsid w:val="007818B9"/>
    <w:rsid w:val="007B465F"/>
    <w:rsid w:val="00801341"/>
    <w:rsid w:val="00813B33"/>
    <w:rsid w:val="009659B1"/>
    <w:rsid w:val="009E6496"/>
    <w:rsid w:val="00A65310"/>
    <w:rsid w:val="00AE5004"/>
    <w:rsid w:val="00AF6F45"/>
    <w:rsid w:val="00C12348"/>
    <w:rsid w:val="00C27ED0"/>
    <w:rsid w:val="00C619EC"/>
    <w:rsid w:val="00EB11BB"/>
    <w:rsid w:val="00F6010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659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9B1"/>
    <w:rPr>
      <w:sz w:val="20"/>
      <w:szCs w:val="20"/>
    </w:rPr>
  </w:style>
  <w:style w:type="character" w:styleId="FootnoteReference">
    <w:name w:val="footnote reference"/>
    <w:basedOn w:val="DefaultParagraphFont"/>
    <w:uiPriority w:val="99"/>
    <w:semiHidden/>
    <w:unhideWhenUsed/>
    <w:rsid w:val="009659B1"/>
    <w:rPr>
      <w:vertAlign w:val="superscript"/>
    </w:rPr>
  </w:style>
  <w:style w:type="paragraph" w:styleId="BalloonText">
    <w:name w:val="Balloon Text"/>
    <w:basedOn w:val="Normal"/>
    <w:link w:val="BalloonTextChar"/>
    <w:uiPriority w:val="99"/>
    <w:semiHidden/>
    <w:unhideWhenUsed/>
    <w:rsid w:val="00456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2D"/>
    <w:rPr>
      <w:rFonts w:ascii="Tahoma" w:hAnsi="Tahoma" w:cs="Tahoma"/>
      <w:sz w:val="16"/>
      <w:szCs w:val="16"/>
    </w:rPr>
  </w:style>
  <w:style w:type="character" w:customStyle="1" w:styleId="apple-converted-space">
    <w:name w:val="apple-converted-space"/>
    <w:basedOn w:val="DefaultParagraphFont"/>
    <w:rsid w:val="00AE5004"/>
  </w:style>
  <w:style w:type="table" w:styleId="TableGrid">
    <w:name w:val="Table Grid"/>
    <w:basedOn w:val="TableNormal"/>
    <w:uiPriority w:val="59"/>
    <w:rsid w:val="005A17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204107">
      <w:bodyDiv w:val="1"/>
      <w:marLeft w:val="0"/>
      <w:marRight w:val="0"/>
      <w:marTop w:val="0"/>
      <w:marBottom w:val="0"/>
      <w:divBdr>
        <w:top w:val="none" w:sz="0" w:space="0" w:color="auto"/>
        <w:left w:val="none" w:sz="0" w:space="0" w:color="auto"/>
        <w:bottom w:val="none" w:sz="0" w:space="0" w:color="auto"/>
        <w:right w:val="none" w:sz="0" w:space="0" w:color="auto"/>
      </w:divBdr>
    </w:div>
    <w:div w:id="471601397">
      <w:bodyDiv w:val="1"/>
      <w:marLeft w:val="0"/>
      <w:marRight w:val="0"/>
      <w:marTop w:val="0"/>
      <w:marBottom w:val="0"/>
      <w:divBdr>
        <w:top w:val="none" w:sz="0" w:space="0" w:color="auto"/>
        <w:left w:val="none" w:sz="0" w:space="0" w:color="auto"/>
        <w:bottom w:val="none" w:sz="0" w:space="0" w:color="auto"/>
        <w:right w:val="none" w:sz="0" w:space="0" w:color="auto"/>
      </w:divBdr>
    </w:div>
    <w:div w:id="744374765">
      <w:bodyDiv w:val="1"/>
      <w:marLeft w:val="0"/>
      <w:marRight w:val="0"/>
      <w:marTop w:val="0"/>
      <w:marBottom w:val="0"/>
      <w:divBdr>
        <w:top w:val="none" w:sz="0" w:space="0" w:color="auto"/>
        <w:left w:val="none" w:sz="0" w:space="0" w:color="auto"/>
        <w:bottom w:val="none" w:sz="0" w:space="0" w:color="auto"/>
        <w:right w:val="none" w:sz="0" w:space="0" w:color="auto"/>
      </w:divBdr>
    </w:div>
    <w:div w:id="1368916275">
      <w:bodyDiv w:val="1"/>
      <w:marLeft w:val="0"/>
      <w:marRight w:val="0"/>
      <w:marTop w:val="0"/>
      <w:marBottom w:val="0"/>
      <w:divBdr>
        <w:top w:val="none" w:sz="0" w:space="0" w:color="auto"/>
        <w:left w:val="none" w:sz="0" w:space="0" w:color="auto"/>
        <w:bottom w:val="none" w:sz="0" w:space="0" w:color="auto"/>
        <w:right w:val="none" w:sz="0" w:space="0" w:color="auto"/>
      </w:divBdr>
    </w:div>
    <w:div w:id="192210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68C6E-4E9B-4E49-97C1-2E4471B9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938</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2017-05-09T18:06:00Z</dcterms:created>
  <dcterms:modified xsi:type="dcterms:W3CDTF">2017-05-09T21:50:00Z</dcterms:modified>
</cp:coreProperties>
</file>