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907" w:rsidRDefault="00406907"/>
    <w:p w:rsidR="00B64303" w:rsidRDefault="00DF6287" w:rsidP="00B64303">
      <w:pPr>
        <w:pStyle w:val="ListParagraph"/>
        <w:numPr>
          <w:ilvl w:val="0"/>
          <w:numId w:val="1"/>
        </w:numPr>
      </w:pPr>
      <w:r>
        <w:t>General stylized facts</w:t>
      </w:r>
      <w:r w:rsidR="00184D3C">
        <w:t>, overview</w:t>
      </w:r>
      <w:r w:rsidR="00B64303">
        <w:t>:</w:t>
      </w:r>
    </w:p>
    <w:p w:rsidR="00DF6287" w:rsidRDefault="00DF6287" w:rsidP="00DF6287">
      <w:pPr>
        <w:ind w:firstLine="360"/>
        <w:rPr>
          <w:lang w:val="es-CL"/>
        </w:rPr>
      </w:pPr>
      <w:r>
        <w:rPr>
          <w:lang w:val="es-CL"/>
        </w:rPr>
        <w:t>F</w:t>
      </w:r>
      <w:r w:rsidR="004700FC" w:rsidRPr="00DF6287">
        <w:rPr>
          <w:lang w:val="es-CL"/>
        </w:rPr>
        <w:t xml:space="preserve">ocus on 2010-2016: período marcado por </w:t>
      </w:r>
      <w:r w:rsidR="004700FC" w:rsidRPr="00DF6287">
        <w:rPr>
          <w:b/>
          <w:lang w:val="es-CL"/>
        </w:rPr>
        <w:t>menores tasas de crecimiento del producto</w:t>
      </w:r>
      <w:r w:rsidR="004700FC" w:rsidRPr="00DF6287">
        <w:rPr>
          <w:lang w:val="es-CL"/>
        </w:rPr>
        <w:t xml:space="preserve"> en los países de la región, de las economías avanzadas y de China. </w:t>
      </w:r>
      <w:r w:rsidR="004700FC" w:rsidRPr="00DF6287">
        <w:rPr>
          <w:b/>
          <w:lang w:val="es-CL"/>
        </w:rPr>
        <w:t>Inversión anémica</w:t>
      </w:r>
      <w:r w:rsidR="004700FC" w:rsidRPr="00DF6287">
        <w:rPr>
          <w:lang w:val="es-CL"/>
        </w:rPr>
        <w:t>, creciendo a tasas muy bajas o decreciendo</w:t>
      </w:r>
      <w:r w:rsidR="00365B7F" w:rsidRPr="00DF6287">
        <w:rPr>
          <w:lang w:val="es-CL"/>
        </w:rPr>
        <w:t xml:space="preserve">. </w:t>
      </w:r>
      <w:r w:rsidR="00365B7F" w:rsidRPr="00DF6287">
        <w:rPr>
          <w:b/>
          <w:lang w:val="es-CL"/>
        </w:rPr>
        <w:t>Comercio con recuperación muy tímida</w:t>
      </w:r>
      <w:r w:rsidR="00365B7F" w:rsidRPr="00DF6287">
        <w:rPr>
          <w:lang w:val="es-CL"/>
        </w:rPr>
        <w:t xml:space="preserve"> después de la contracción de 2009. </w:t>
      </w:r>
      <w:r w:rsidR="00365B7F" w:rsidRPr="00DF6287">
        <w:rPr>
          <w:b/>
          <w:lang w:val="es-CL"/>
        </w:rPr>
        <w:t>Labor productivity</w:t>
      </w:r>
      <w:r w:rsidR="00365B7F" w:rsidRPr="00DF6287">
        <w:rPr>
          <w:lang w:val="es-CL"/>
        </w:rPr>
        <w:t xml:space="preserve"> también crece a tasas muy bajas. </w:t>
      </w:r>
      <w:r w:rsidR="00184D3C" w:rsidRPr="00DF6287">
        <w:rPr>
          <w:b/>
          <w:lang w:val="es-CL"/>
        </w:rPr>
        <w:t>Menor fragilidad financiera</w:t>
      </w:r>
      <w:r w:rsidR="00184D3C" w:rsidRPr="00DF6287">
        <w:rPr>
          <w:lang w:val="es-CL"/>
        </w:rPr>
        <w:t xml:space="preserve">, mayores reservas, menor deuda externa. </w:t>
      </w:r>
      <w:r w:rsidR="00184D3C" w:rsidRPr="00DF6287">
        <w:rPr>
          <w:b/>
          <w:lang w:val="es-CL"/>
        </w:rPr>
        <w:t>Panorama variado en resultados fiscales y en monetary policy stance</w:t>
      </w:r>
      <w:r w:rsidR="00184D3C" w:rsidRPr="00DF6287">
        <w:rPr>
          <w:lang w:val="es-CL"/>
        </w:rPr>
        <w:t>.</w:t>
      </w:r>
    </w:p>
    <w:p w:rsidR="00365B7F" w:rsidRDefault="00365B7F" w:rsidP="00DF6287">
      <w:pPr>
        <w:ind w:firstLine="360"/>
        <w:rPr>
          <w:lang w:val="es-CL"/>
        </w:rPr>
      </w:pPr>
      <w:r>
        <w:rPr>
          <w:lang w:val="es-CL"/>
        </w:rPr>
        <w:t>Cuadros que comparen 2010-2016 growth rates</w:t>
      </w:r>
      <w:r w:rsidR="00DF6287">
        <w:rPr>
          <w:lang w:val="es-CL"/>
        </w:rPr>
        <w:t xml:space="preserve"> (investment, trade, gdp, labor productivity)</w:t>
      </w:r>
      <w:r>
        <w:rPr>
          <w:lang w:val="es-CL"/>
        </w:rPr>
        <w:t xml:space="preserve"> con un período muy favorable (2003-2008) y con un una serie más larga que refleje algo de la antigua normalidad (1990-2000? 1990-2008?).</w:t>
      </w:r>
    </w:p>
    <w:p w:rsidR="00365B7F" w:rsidRPr="00DF6287" w:rsidRDefault="00DF6287" w:rsidP="00DF6287">
      <w:pPr>
        <w:rPr>
          <w:lang w:val="es-CL"/>
        </w:rPr>
      </w:pPr>
      <w:r>
        <w:rPr>
          <w:lang w:val="es-CL"/>
        </w:rPr>
        <w:t xml:space="preserve">        </w:t>
      </w:r>
      <w:r w:rsidR="00365B7F" w:rsidRPr="00DF6287">
        <w:rPr>
          <w:lang w:val="es-CL"/>
        </w:rPr>
        <w:t>Países y agregados para los cuadros y gráficos:</w:t>
      </w:r>
    </w:p>
    <w:p w:rsidR="00365B7F" w:rsidRDefault="00365B7F" w:rsidP="00DF6287">
      <w:pPr>
        <w:pStyle w:val="ListParagraph"/>
        <w:numPr>
          <w:ilvl w:val="0"/>
          <w:numId w:val="3"/>
        </w:numPr>
        <w:rPr>
          <w:lang w:val="es-CL"/>
        </w:rPr>
      </w:pPr>
      <w:r w:rsidRPr="00DF6287">
        <w:rPr>
          <w:lang w:val="es-CL"/>
        </w:rPr>
        <w:t>LAC, SA, CAyM</w:t>
      </w:r>
    </w:p>
    <w:p w:rsidR="00DF6287" w:rsidRPr="00365B7F" w:rsidRDefault="00DF6287" w:rsidP="00DF6287">
      <w:pPr>
        <w:pStyle w:val="ListParagraph"/>
        <w:numPr>
          <w:ilvl w:val="0"/>
          <w:numId w:val="3"/>
        </w:numPr>
      </w:pPr>
      <w:r w:rsidRPr="00365B7F">
        <w:t>LAC oil exporte</w:t>
      </w:r>
      <w:r>
        <w:t>r</w:t>
      </w:r>
      <w:r w:rsidRPr="00365B7F">
        <w:t>s, food exporters, metal exporters</w:t>
      </w:r>
    </w:p>
    <w:p w:rsidR="00DF6287" w:rsidRPr="00DF6287" w:rsidRDefault="00DF6287" w:rsidP="00DF6287">
      <w:pPr>
        <w:pStyle w:val="ListParagraph"/>
        <w:numPr>
          <w:ilvl w:val="0"/>
          <w:numId w:val="3"/>
        </w:numPr>
      </w:pPr>
      <w:r>
        <w:t>LAC fiscally constrained vs with more fiscal wiggle room (defined by last three operational results and debt stock) at the Central Government level. Data for NFPS or SOEs, available for fewer countries, could go in a Box.</w:t>
      </w:r>
    </w:p>
    <w:p w:rsidR="00DF6287" w:rsidRDefault="007B1043" w:rsidP="007B1043">
      <w:pPr>
        <w:pStyle w:val="ListParagraph"/>
        <w:numPr>
          <w:ilvl w:val="0"/>
          <w:numId w:val="1"/>
        </w:numPr>
      </w:pPr>
      <w:r>
        <w:t>External environment:</w:t>
      </w:r>
    </w:p>
    <w:p w:rsidR="007B1043" w:rsidRDefault="007B1043" w:rsidP="007B1043">
      <w:pPr>
        <w:pStyle w:val="ListParagraph"/>
        <w:numPr>
          <w:ilvl w:val="1"/>
          <w:numId w:val="1"/>
        </w:numPr>
        <w:rPr>
          <w:lang w:val="es-CL"/>
        </w:rPr>
      </w:pPr>
      <w:r w:rsidRPr="007B1043">
        <w:rPr>
          <w:lang w:val="es-CL"/>
        </w:rPr>
        <w:t xml:space="preserve">Deceleration in GDP for China, EU and USA. </w:t>
      </w:r>
      <w:r>
        <w:rPr>
          <w:lang w:val="es-CL"/>
        </w:rPr>
        <w:t>No visible changes ahead.</w:t>
      </w:r>
    </w:p>
    <w:p w:rsidR="000335E5" w:rsidRDefault="000335E5" w:rsidP="000335E5">
      <w:pPr>
        <w:pStyle w:val="ListParagraph"/>
        <w:numPr>
          <w:ilvl w:val="2"/>
          <w:numId w:val="1"/>
        </w:numPr>
      </w:pPr>
      <w:r w:rsidRPr="000335E5">
        <w:t>Potencial output forecasts for USA, OECD and China:</w:t>
      </w:r>
    </w:p>
    <w:p w:rsidR="000335E5" w:rsidRDefault="005624CC" w:rsidP="000335E5">
      <w:pPr>
        <w:pStyle w:val="ListParagraph"/>
        <w:numPr>
          <w:ilvl w:val="3"/>
          <w:numId w:val="1"/>
        </w:numPr>
      </w:pPr>
      <w:r>
        <w:t>USA</w:t>
      </w:r>
      <w:r w:rsidR="000335E5">
        <w:t>:</w:t>
      </w:r>
      <w:r>
        <w:t xml:space="preserve"> CBO estimates real potential GDP growth </w:t>
      </w:r>
      <w:r w:rsidR="00936C77">
        <w:t>of</w:t>
      </w:r>
      <w:r>
        <w:t xml:space="preserve"> 1.6</w:t>
      </w:r>
      <w:r w:rsidR="00936C77">
        <w:t>%</w:t>
      </w:r>
      <w:r>
        <w:t xml:space="preserve"> to 1.9</w:t>
      </w:r>
      <w:r w:rsidR="00936C77">
        <w:t>%</w:t>
      </w:r>
      <w:r>
        <w:t xml:space="preserve"> for the next ten years</w:t>
      </w:r>
      <w:r w:rsidR="00936C77">
        <w:t>.</w:t>
      </w:r>
    </w:p>
    <w:p w:rsidR="00A20C17" w:rsidRDefault="00A20C17" w:rsidP="000335E5">
      <w:pPr>
        <w:pStyle w:val="ListParagraph"/>
        <w:numPr>
          <w:ilvl w:val="3"/>
          <w:numId w:val="1"/>
        </w:numPr>
      </w:pPr>
      <w:r>
        <w:t>EU</w:t>
      </w:r>
      <w:r w:rsidR="00936C77">
        <w:t>: European Commission estimates that potential GDP growth had peaked in 2016, at 1.5 percent, and forecasts growth rates of 1.3% from here to 2020.</w:t>
      </w:r>
    </w:p>
    <w:p w:rsidR="00936C77" w:rsidRPr="000335E5" w:rsidRDefault="00936C77" w:rsidP="000335E5">
      <w:pPr>
        <w:pStyle w:val="ListParagraph"/>
        <w:numPr>
          <w:ilvl w:val="3"/>
          <w:numId w:val="1"/>
        </w:numPr>
      </w:pPr>
      <w:r>
        <w:t>China: to do.</w:t>
      </w:r>
    </w:p>
    <w:p w:rsidR="007B1043" w:rsidRPr="00B1501B" w:rsidRDefault="007B1043" w:rsidP="007B1043">
      <w:pPr>
        <w:pStyle w:val="ListParagraph"/>
        <w:numPr>
          <w:ilvl w:val="1"/>
          <w:numId w:val="1"/>
        </w:numPr>
      </w:pPr>
      <w:r w:rsidRPr="00B1501B">
        <w:t>Slow recovery of exports demand</w:t>
      </w:r>
      <w:r w:rsidR="00B1501B" w:rsidRPr="00B1501B">
        <w:t xml:space="preserve"> (China rebalancing towards services and </w:t>
      </w:r>
      <w:r w:rsidR="00B1501B">
        <w:t>subdued growth in AEs</w:t>
      </w:r>
      <w:r w:rsidR="00B1501B" w:rsidRPr="00B1501B">
        <w:t>)</w:t>
      </w:r>
    </w:p>
    <w:p w:rsidR="007B1043" w:rsidRPr="007B1043" w:rsidRDefault="007B1043" w:rsidP="007B1043">
      <w:pPr>
        <w:pStyle w:val="ListParagraph"/>
        <w:numPr>
          <w:ilvl w:val="1"/>
          <w:numId w:val="1"/>
        </w:numPr>
      </w:pPr>
      <w:r>
        <w:t>Portfolio</w:t>
      </w:r>
      <w:r w:rsidRPr="007B1043">
        <w:t xml:space="preserve"> </w:t>
      </w:r>
      <w:r>
        <w:t>inflows to LAC</w:t>
      </w:r>
      <w:r w:rsidRPr="007B1043">
        <w:t xml:space="preserve"> higher t</w:t>
      </w:r>
      <w:r>
        <w:t>h</w:t>
      </w:r>
      <w:r w:rsidRPr="007B1043">
        <w:t>an usual, b</w:t>
      </w:r>
      <w:r>
        <w:t>ut de</w:t>
      </w:r>
      <w:r w:rsidRPr="007B1043">
        <w:t xml:space="preserve">creasing, because of the normalization of monetary policy in USA (and correspondingly higher yields for e.g. </w:t>
      </w:r>
      <w:r>
        <w:t>federal funds).</w:t>
      </w:r>
      <w:r w:rsidR="008C50E0">
        <w:t xml:space="preserve"> CBO forecast higher stable rates to be in place during 2019-2020.</w:t>
      </w:r>
      <w:r>
        <w:t xml:space="preserve"> EU and Japan are still a long way from rising rates significantly, but yields won’t decrease any further. Finance will not get any cheaper. Expect currency depreciation across the board in LAC. Not a </w:t>
      </w:r>
      <w:r w:rsidR="00E57756">
        <w:t>bad thing, since reasonable currency matches and hi</w:t>
      </w:r>
      <w:r w:rsidR="008C50E0">
        <w:t>gher level of domestic debt vis-a-</w:t>
      </w:r>
      <w:r w:rsidR="00E57756">
        <w:t>vis external debt.</w:t>
      </w:r>
      <w:r>
        <w:t xml:space="preserve">  </w:t>
      </w:r>
    </w:p>
    <w:p w:rsidR="00DF6287" w:rsidRDefault="00DF6287" w:rsidP="00DF6287">
      <w:pPr>
        <w:pStyle w:val="ListParagraph"/>
        <w:numPr>
          <w:ilvl w:val="0"/>
          <w:numId w:val="1"/>
        </w:numPr>
      </w:pPr>
      <w:r w:rsidRPr="007B1043">
        <w:t>Investment:</w:t>
      </w:r>
    </w:p>
    <w:p w:rsidR="000335E5" w:rsidRDefault="000335E5" w:rsidP="000335E5">
      <w:pPr>
        <w:pStyle w:val="ListParagraph"/>
        <w:numPr>
          <w:ilvl w:val="1"/>
          <w:numId w:val="1"/>
        </w:numPr>
      </w:pPr>
      <w:r>
        <w:t xml:space="preserve">AEs and China: </w:t>
      </w:r>
      <w:r w:rsidR="008208B2">
        <w:t>investment slowdown, reflecting lower expected growth but in the case of China also discretionary public policy.</w:t>
      </w:r>
    </w:p>
    <w:p w:rsidR="008208B2" w:rsidRPr="007B1043" w:rsidRDefault="008208B2" w:rsidP="000335E5">
      <w:pPr>
        <w:pStyle w:val="ListParagraph"/>
        <w:numPr>
          <w:ilvl w:val="1"/>
          <w:numId w:val="1"/>
        </w:numPr>
      </w:pPr>
      <w:r>
        <w:t>LAC: reasons go beyond lower expected growth.</w:t>
      </w:r>
    </w:p>
    <w:p w:rsidR="00B64303" w:rsidRDefault="007B1043" w:rsidP="00DF6287">
      <w:pPr>
        <w:pStyle w:val="ListParagraph"/>
        <w:numPr>
          <w:ilvl w:val="1"/>
          <w:numId w:val="1"/>
        </w:numPr>
        <w:rPr>
          <w:lang w:val="es-CL"/>
        </w:rPr>
      </w:pPr>
      <w:r w:rsidRPr="000335E5">
        <w:rPr>
          <w:lang w:val="es-CL"/>
        </w:rPr>
        <w:lastRenderedPageBreak/>
        <w:t xml:space="preserve">LAC: </w:t>
      </w:r>
      <w:r w:rsidR="00DF6287" w:rsidRPr="000335E5">
        <w:rPr>
          <w:lang w:val="es-CL"/>
        </w:rPr>
        <w:t xml:space="preserve">Las tasas de crecimiento son menores porque una parte importante de la inversión estaba ligada </w:t>
      </w:r>
      <w:r w:rsidR="00DF6287">
        <w:rPr>
          <w:lang w:val="es-CL"/>
        </w:rPr>
        <w:t xml:space="preserve">directa o indirectamente a la exportación de commodities. A los niveles de precios actuales, tomará tiempo antes de que sea necesario ampliar mucho la capacidad productiva, por lo que los montos de inversión están más relacionadas con la mantención y la reestructuración de los procesos productivos. </w:t>
      </w:r>
      <w:r w:rsidR="00B64303" w:rsidRPr="00DF6287">
        <w:rPr>
          <w:lang w:val="es-CL"/>
        </w:rPr>
        <w:t xml:space="preserve"> </w:t>
      </w:r>
    </w:p>
    <w:p w:rsidR="00297146" w:rsidRDefault="007B1043" w:rsidP="00DF6287">
      <w:pPr>
        <w:pStyle w:val="ListParagraph"/>
        <w:numPr>
          <w:ilvl w:val="1"/>
          <w:numId w:val="1"/>
        </w:numPr>
        <w:rPr>
          <w:lang w:val="es-CL"/>
        </w:rPr>
      </w:pPr>
      <w:r>
        <w:rPr>
          <w:lang w:val="es-CL"/>
        </w:rPr>
        <w:t xml:space="preserve">LAC: </w:t>
      </w:r>
      <w:r w:rsidR="00297146">
        <w:rPr>
          <w:lang w:val="es-CL"/>
        </w:rPr>
        <w:t>Los altos precios de comienzos de los 2000s no volverán: China está re-balanceando su economía desde la producción industrial hacia los servicios, que son menos intensos en commodities. La tí</w:t>
      </w:r>
      <w:r w:rsidR="0063774A">
        <w:rPr>
          <w:lang w:val="es-CL"/>
        </w:rPr>
        <w:t>mida recuperación de USA y EU no</w:t>
      </w:r>
      <w:r w:rsidR="00297146">
        <w:rPr>
          <w:lang w:val="es-CL"/>
        </w:rPr>
        <w:t xml:space="preserve"> </w:t>
      </w:r>
      <w:r w:rsidR="0063774A">
        <w:rPr>
          <w:lang w:val="es-CL"/>
        </w:rPr>
        <w:t xml:space="preserve">compensa </w:t>
      </w:r>
      <w:r w:rsidR="00297146">
        <w:rPr>
          <w:lang w:val="es-CL"/>
        </w:rPr>
        <w:t>el menor crecimiento del GDP y</w:t>
      </w:r>
      <w:r w:rsidR="0063774A">
        <w:rPr>
          <w:lang w:val="es-CL"/>
        </w:rPr>
        <w:t xml:space="preserve"> de</w:t>
      </w:r>
      <w:r w:rsidR="00297146">
        <w:rPr>
          <w:lang w:val="es-CL"/>
        </w:rPr>
        <w:t xml:space="preserve"> la inversión</w:t>
      </w:r>
      <w:r w:rsidR="0063774A">
        <w:rPr>
          <w:lang w:val="es-CL"/>
        </w:rPr>
        <w:t xml:space="preserve"> en</w:t>
      </w:r>
      <w:r w:rsidR="00297146">
        <w:rPr>
          <w:lang w:val="es-CL"/>
        </w:rPr>
        <w:t xml:space="preserve"> China. </w:t>
      </w:r>
    </w:p>
    <w:p w:rsidR="00297146" w:rsidRDefault="007B1043" w:rsidP="00DF6287">
      <w:pPr>
        <w:pStyle w:val="ListParagraph"/>
        <w:numPr>
          <w:ilvl w:val="1"/>
          <w:numId w:val="1"/>
        </w:numPr>
        <w:rPr>
          <w:lang w:val="es-CL"/>
        </w:rPr>
      </w:pPr>
      <w:r>
        <w:rPr>
          <w:lang w:val="es-CL"/>
        </w:rPr>
        <w:t xml:space="preserve">LAC: </w:t>
      </w:r>
      <w:r w:rsidR="00297146">
        <w:rPr>
          <w:lang w:val="es-CL"/>
        </w:rPr>
        <w:t>FDI ha hecho una menor contribución a la inversión total. Al estar concentrada en exportación de commodities, tampoco parece que retome los niveles anteriores. Puede paliarse con FDI inflows a otros sectores, pero requiere de políticas activas.</w:t>
      </w:r>
    </w:p>
    <w:p w:rsidR="008208B2" w:rsidRDefault="008208B2" w:rsidP="00DF6287">
      <w:pPr>
        <w:pStyle w:val="ListParagraph"/>
        <w:numPr>
          <w:ilvl w:val="1"/>
          <w:numId w:val="1"/>
        </w:numPr>
        <w:rPr>
          <w:lang w:val="es-CL"/>
        </w:rPr>
      </w:pPr>
      <w:r>
        <w:rPr>
          <w:lang w:val="es-CL"/>
        </w:rPr>
        <w:t>Lower levels of public investment because of tighter policy space.</w:t>
      </w:r>
    </w:p>
    <w:p w:rsidR="00297146" w:rsidRDefault="00297146" w:rsidP="00297146">
      <w:pPr>
        <w:pStyle w:val="ListParagraph"/>
        <w:ind w:left="1440"/>
        <w:rPr>
          <w:lang w:val="es-CL"/>
        </w:rPr>
      </w:pPr>
    </w:p>
    <w:p w:rsidR="00297146" w:rsidRDefault="000335E5" w:rsidP="00297146">
      <w:pPr>
        <w:pStyle w:val="ListParagraph"/>
        <w:numPr>
          <w:ilvl w:val="0"/>
          <w:numId w:val="1"/>
        </w:numPr>
        <w:rPr>
          <w:lang w:val="es-CL"/>
        </w:rPr>
      </w:pPr>
      <w:r>
        <w:rPr>
          <w:lang w:val="es-CL"/>
        </w:rPr>
        <w:t>Labor productivity</w:t>
      </w:r>
      <w:r w:rsidR="00936C77">
        <w:rPr>
          <w:lang w:val="es-CL"/>
        </w:rPr>
        <w:t>:</w:t>
      </w:r>
    </w:p>
    <w:p w:rsidR="00936C77" w:rsidRPr="00936C77" w:rsidRDefault="00936C77" w:rsidP="00936C77">
      <w:pPr>
        <w:pStyle w:val="ListParagraph"/>
        <w:numPr>
          <w:ilvl w:val="1"/>
          <w:numId w:val="1"/>
        </w:numPr>
      </w:pPr>
      <w:r>
        <w:t xml:space="preserve">Hurt by anemic fixed investment. </w:t>
      </w:r>
      <w:r w:rsidRPr="00936C77">
        <w:t>Slowdown in investment forestal</w:t>
      </w:r>
      <w:r>
        <w:t>ls</w:t>
      </w:r>
      <w:r w:rsidRPr="00936C77">
        <w:t xml:space="preserve"> capital deepe</w:t>
      </w:r>
      <w:r>
        <w:t>n</w:t>
      </w:r>
      <w:r w:rsidRPr="00936C77">
        <w:t xml:space="preserve">ing and technological diffusion, decelerating labor productivity. </w:t>
      </w:r>
    </w:p>
    <w:sectPr w:rsidR="00936C77" w:rsidRPr="00936C77" w:rsidSect="00406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010BE"/>
    <w:multiLevelType w:val="hybridMultilevel"/>
    <w:tmpl w:val="3470FAE2"/>
    <w:lvl w:ilvl="0" w:tplc="B7BAD306">
      <w:start w:val="1"/>
      <w:numFmt w:val="bullet"/>
      <w:lvlText w:val="-"/>
      <w:lvlJc w:val="left"/>
      <w:pPr>
        <w:ind w:left="795" w:hanging="360"/>
      </w:pPr>
      <w:rPr>
        <w:rFonts w:ascii="Calibri" w:eastAsiaTheme="minorHAnsi" w:hAnsi="Calibri" w:cs="Calibr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CF813C3"/>
    <w:multiLevelType w:val="hybridMultilevel"/>
    <w:tmpl w:val="AD9EF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5D6"/>
    <w:multiLevelType w:val="hybridMultilevel"/>
    <w:tmpl w:val="76A2C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characterSpacingControl w:val="doNotCompress"/>
  <w:compat/>
  <w:rsids>
    <w:rsidRoot w:val="00B64303"/>
    <w:rsid w:val="000335E5"/>
    <w:rsid w:val="00184D3C"/>
    <w:rsid w:val="00297146"/>
    <w:rsid w:val="00365B7F"/>
    <w:rsid w:val="00406907"/>
    <w:rsid w:val="004700FC"/>
    <w:rsid w:val="005624CC"/>
    <w:rsid w:val="0063774A"/>
    <w:rsid w:val="007B1043"/>
    <w:rsid w:val="008208B2"/>
    <w:rsid w:val="008C50E0"/>
    <w:rsid w:val="00936C77"/>
    <w:rsid w:val="00A20C17"/>
    <w:rsid w:val="00B1501B"/>
    <w:rsid w:val="00B64303"/>
    <w:rsid w:val="00CA1BB6"/>
    <w:rsid w:val="00DF6287"/>
    <w:rsid w:val="00E57756"/>
    <w:rsid w:val="00F23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0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2017-04-17T17:43:00Z</dcterms:created>
  <dcterms:modified xsi:type="dcterms:W3CDTF">2017-04-17T19:01:00Z</dcterms:modified>
</cp:coreProperties>
</file>