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26" w:rsidRDefault="00715A66">
      <w:pPr>
        <w:rPr>
          <w:b/>
        </w:rPr>
      </w:pPr>
      <w:r>
        <w:rPr>
          <w:b/>
        </w:rPr>
        <w:t>Sudden stops and surges in capital flows</w:t>
      </w:r>
    </w:p>
    <w:p w:rsidR="008A2EB7" w:rsidRDefault="00715A66" w:rsidP="008A2EB7">
      <w:pPr>
        <w:rPr>
          <w:color w:val="000000" w:themeColor="text1"/>
        </w:rPr>
      </w:pPr>
      <w:r>
        <w:t xml:space="preserve">The method used by Cecilia, Pablo and Esteban in the </w:t>
      </w:r>
      <w:r w:rsidRPr="00715A66">
        <w:rPr>
          <w:i/>
        </w:rPr>
        <w:t>paper A Regional reserve fund for Latin America</w:t>
      </w:r>
      <w:r>
        <w:t xml:space="preserve"> is the one of </w:t>
      </w:r>
      <w:proofErr w:type="spellStart"/>
      <w:r>
        <w:t>Calvo</w:t>
      </w:r>
      <w:proofErr w:type="spellEnd"/>
      <w:r>
        <w:t xml:space="preserve"> and is based on a proxy of net capital flows derived from monthly changes in international reserves. It is impossible to apply this method on gross flows. In the last years, there is a growing </w:t>
      </w:r>
      <w:r w:rsidR="008A2EB7">
        <w:t>consensus</w:t>
      </w:r>
      <w:r>
        <w:t xml:space="preserve"> in the literature that it is becoming more and more important to focus on </w:t>
      </w:r>
      <w:r>
        <w:rPr>
          <w:i/>
        </w:rPr>
        <w:t xml:space="preserve">gross flows </w:t>
      </w:r>
      <w:r>
        <w:t xml:space="preserve">instead of net flows. When you want to calculate sudden stops and surges one tend to miss certain periods of extreme flows when focusing on net flows. </w:t>
      </w:r>
      <w:r w:rsidR="008A2EB7">
        <w:t xml:space="preserve">For example, </w:t>
      </w:r>
      <w:r w:rsidR="008A2EB7" w:rsidRPr="00843B5A">
        <w:rPr>
          <w:color w:val="000000" w:themeColor="text1"/>
        </w:rPr>
        <w:t xml:space="preserve">Cowan, De Gregorio, </w:t>
      </w:r>
      <w:proofErr w:type="spellStart"/>
      <w:r w:rsidR="008A2EB7" w:rsidRPr="00843B5A">
        <w:rPr>
          <w:color w:val="000000" w:themeColor="text1"/>
        </w:rPr>
        <w:t>Micco</w:t>
      </w:r>
      <w:proofErr w:type="spellEnd"/>
      <w:r w:rsidR="008A2EB7" w:rsidRPr="00843B5A">
        <w:rPr>
          <w:color w:val="000000" w:themeColor="text1"/>
        </w:rPr>
        <w:t xml:space="preserve"> and Neilson (2008) and Rothenberg and Warnock (2011) point out that measures of sudden stops constructed from proxies for net inflows are not able to differentiate between stops that are due to the actions of foreigners and those due to locals fleeing the domestic market. </w:t>
      </w:r>
    </w:p>
    <w:p w:rsidR="008A2EB7" w:rsidRDefault="008A2EB7" w:rsidP="008A2EB7">
      <w:r>
        <w:t>METHOD USED:</w:t>
      </w:r>
    </w:p>
    <w:p w:rsidR="008A2EB7" w:rsidRDefault="008A2EB7" w:rsidP="008A2EB7">
      <w:pPr>
        <w:rPr>
          <w:color w:val="FF0000"/>
        </w:rPr>
      </w:pPr>
      <w:r w:rsidRPr="00E21C35">
        <w:rPr>
          <w:color w:val="FF0000"/>
        </w:rPr>
        <w:t>Forbes and Warnock: ‘More specifically, we use quarterly gross flows data in a sample of 58 countries over the period from 1980 through 2009 to id</w:t>
      </w:r>
      <w:r>
        <w:rPr>
          <w:color w:val="FF0000"/>
        </w:rPr>
        <w:t>entify four types of episodes:</w:t>
      </w:r>
    </w:p>
    <w:p w:rsidR="008A2EB7" w:rsidRPr="00E21C35" w:rsidRDefault="008A2EB7" w:rsidP="008A2EB7">
      <w:pPr>
        <w:pStyle w:val="ListParagraph"/>
        <w:numPr>
          <w:ilvl w:val="0"/>
          <w:numId w:val="1"/>
        </w:numPr>
        <w:rPr>
          <w:color w:val="FF0000"/>
        </w:rPr>
      </w:pPr>
      <w:r w:rsidRPr="00E21C35">
        <w:rPr>
          <w:color w:val="FF0000"/>
        </w:rPr>
        <w:t xml:space="preserve">“Surges”: a sharp increase in gross capital inflows; </w:t>
      </w:r>
    </w:p>
    <w:p w:rsidR="008A2EB7" w:rsidRPr="00E21C35" w:rsidRDefault="008A2EB7" w:rsidP="008A2EB7">
      <w:pPr>
        <w:pStyle w:val="ListParagraph"/>
        <w:numPr>
          <w:ilvl w:val="0"/>
          <w:numId w:val="1"/>
        </w:numPr>
        <w:rPr>
          <w:color w:val="FF0000"/>
        </w:rPr>
      </w:pPr>
      <w:r w:rsidRPr="00E21C35">
        <w:rPr>
          <w:color w:val="FF0000"/>
        </w:rPr>
        <w:t xml:space="preserve">“Stops”: a sharp decrease in gross capital inflows; </w:t>
      </w:r>
    </w:p>
    <w:p w:rsidR="008A2EB7" w:rsidRPr="00E21C35" w:rsidRDefault="008A2EB7" w:rsidP="008A2EB7">
      <w:pPr>
        <w:pStyle w:val="ListParagraph"/>
        <w:numPr>
          <w:ilvl w:val="0"/>
          <w:numId w:val="1"/>
        </w:numPr>
        <w:rPr>
          <w:color w:val="FF0000"/>
        </w:rPr>
      </w:pPr>
      <w:r w:rsidRPr="00E21C35">
        <w:rPr>
          <w:color w:val="FF0000"/>
        </w:rPr>
        <w:t xml:space="preserve">“Flight”: a sharp increase in gross capital outflows; </w:t>
      </w:r>
    </w:p>
    <w:p w:rsidR="008A2EB7" w:rsidRPr="00E21C35" w:rsidRDefault="008A2EB7" w:rsidP="008A2EB7">
      <w:pPr>
        <w:pStyle w:val="ListParagraph"/>
        <w:numPr>
          <w:ilvl w:val="0"/>
          <w:numId w:val="1"/>
        </w:numPr>
        <w:rPr>
          <w:color w:val="FF0000"/>
        </w:rPr>
      </w:pPr>
      <w:r w:rsidRPr="00E21C35">
        <w:rPr>
          <w:color w:val="FF0000"/>
        </w:rPr>
        <w:t xml:space="preserve">“Retrenchment”: a sharp decrease in gross capital outflows. </w:t>
      </w:r>
    </w:p>
    <w:p w:rsidR="008A2EB7" w:rsidRDefault="008A2EB7" w:rsidP="008A2EB7">
      <w:pPr>
        <w:rPr>
          <w:color w:val="FF0000"/>
        </w:rPr>
      </w:pPr>
      <w:r w:rsidRPr="00E21C35">
        <w:rPr>
          <w:color w:val="FF0000"/>
        </w:rPr>
        <w:t xml:space="preserve">The first two types of episodes—surges and stops—are driven by foreigners while the last two—flight and retrenchment—are driven by domestic investors. </w:t>
      </w:r>
    </w:p>
    <w:p w:rsidR="008A2EB7" w:rsidRDefault="008A2EB7" w:rsidP="008A2EB7">
      <w:pPr>
        <w:rPr>
          <w:color w:val="FF0000"/>
        </w:rPr>
      </w:pPr>
      <w:r w:rsidRPr="00E21C35">
        <w:rPr>
          <w:color w:val="FF0000"/>
        </w:rPr>
        <w:t>We calculate year-over-year changes in four-quarter gross capital inflows and outflows and define episodes using three criteria: (1) current year-over-year changes in four-quarter gross capital inflows or outflows is more than two standard deviations above or below the historic average during at least one quarter of the episode; (2) the episode is defined as lasting for all consecutive quarters for which the year-over-year change in annual gross capital flows is more than one standard deviation above or below the historical average; and (3) the length of the episode is greater than one quarter.’</w:t>
      </w:r>
    </w:p>
    <w:p w:rsidR="008A2EB7" w:rsidRDefault="008A2EB7" w:rsidP="008A2EB7">
      <w:r>
        <w:t>In our baseline measure, we define gross capital inflows as the sum of inflows of direct investment, portfolio inflows and other inflows; gross private capital outflows are defined analogously as the sum of direct investment outflows, portfolio</w:t>
      </w:r>
      <w:r w:rsidRPr="00CB5173">
        <w:t xml:space="preserve"> </w:t>
      </w:r>
      <w:r>
        <w:t>outflows, and other outflows, with reserve accumulation omitted. We also conduct a series of sensitivity tests using alternative measures, but initially focus on these inclusive measures of gross capital outflows and gross private capital inflows.</w:t>
      </w:r>
    </w:p>
    <w:p w:rsidR="008A2EB7" w:rsidRPr="00CB5173" w:rsidRDefault="008A2EB7" w:rsidP="008A2EB7">
      <w:pPr>
        <w:rPr>
          <w:color w:val="FF0000"/>
        </w:rPr>
      </w:pPr>
      <w:r w:rsidRPr="00CB5173">
        <w:rPr>
          <w:color w:val="FF0000"/>
        </w:rPr>
        <w:t xml:space="preserve">We classify an episode as a sudden stop if annual capital inflows fall below the lowest line (the two standard deviation line) for at least one quarter, with the episode starting when it initially crosses the one-standard deviation line and ending when it crosses back over the same line. Similarly, we classify an episode as a sudden surge if annual capital </w:t>
      </w:r>
      <w:proofErr w:type="gramStart"/>
      <w:r w:rsidRPr="00CB5173">
        <w:rPr>
          <w:color w:val="FF0000"/>
        </w:rPr>
        <w:t>flows</w:t>
      </w:r>
      <w:proofErr w:type="gramEnd"/>
      <w:r w:rsidRPr="00CB5173">
        <w:rPr>
          <w:color w:val="FF0000"/>
        </w:rPr>
        <w:t xml:space="preserve"> rise above the highest line (the two standard deviation line), with the episode starting when it initially crosses the one-standard deviation line and ending when it crosses back over the same line.</w:t>
      </w:r>
    </w:p>
    <w:p w:rsidR="008A2EB7" w:rsidRDefault="008A2EB7" w:rsidP="008A2EB7">
      <w:r>
        <w:lastRenderedPageBreak/>
        <w:t xml:space="preserve">As an example of the outcome of their method Forbes and Warnock (2012) shows the identified sudden stop and surge episodes for Brazil. They find four periods to qualify as sudden stops: 1993Q1 to 1993Q3 (a period of hyperinflation in Brazil), 1995Q1 to 1995Q2 (the Mexican peso crisis), 1999Q1 to 1999Q2 </w:t>
      </w:r>
      <w:proofErr w:type="gramStart"/>
      <w:r>
        <w:t>(a devaluation</w:t>
      </w:r>
      <w:proofErr w:type="gramEnd"/>
      <w:r>
        <w:t xml:space="preserve"> in Brazil) and 2008Q2 to 2009Q3 (the most recent global crisis). Four other periods qualify as sudden surges: 1990Q2 to 1991Q1 (after Brazil elected a new president in its first democratic election in decades and hoped that inflation would be defeated), 1994Q1 to 1994Q3 (just before the Mexican peso crisis), 1995Q4 to 1996Q2 (a period of strong capital flows to many emerging markets before the Asian crisis), and 2006Q3 to 2007Q4 (just before the recent crisis). The episodes suggest that stops might be caused by a mix of domestic, regional, and global shocks, while surges might be driven by domestic or global factors.</w:t>
      </w:r>
    </w:p>
    <w:p w:rsidR="0031350B" w:rsidRPr="0031350B" w:rsidRDefault="0031350B" w:rsidP="008A2EB7">
      <w:r>
        <w:rPr>
          <w:b/>
        </w:rPr>
        <w:t xml:space="preserve">Table 1 </w:t>
      </w:r>
      <w:proofErr w:type="gramStart"/>
      <w:r w:rsidRPr="0031350B">
        <w:rPr>
          <w:i/>
        </w:rPr>
        <w:t>Extreme episodes</w:t>
      </w:r>
      <w:proofErr w:type="gramEnd"/>
      <w:r w:rsidRPr="0031350B">
        <w:rPr>
          <w:i/>
        </w:rPr>
        <w:t xml:space="preserve"> in total net flows, total gross inflows and total gross outflows</w:t>
      </w:r>
      <w:r>
        <w:rPr>
          <w:i/>
        </w:rPr>
        <w:t xml:space="preserve"> for Brazil, Chile, Colombia, Mexico and Peru. </w:t>
      </w:r>
    </w:p>
    <w:tbl>
      <w:tblPr>
        <w:tblW w:w="10080" w:type="dxa"/>
        <w:tblInd w:w="108" w:type="dxa"/>
        <w:tblLayout w:type="fixed"/>
        <w:tblLook w:val="04A0"/>
      </w:tblPr>
      <w:tblGrid>
        <w:gridCol w:w="990"/>
        <w:gridCol w:w="1530"/>
        <w:gridCol w:w="1530"/>
        <w:gridCol w:w="1620"/>
        <w:gridCol w:w="1530"/>
        <w:gridCol w:w="1440"/>
        <w:gridCol w:w="1440"/>
      </w:tblGrid>
      <w:tr w:rsidR="0031350B" w:rsidRPr="00571BD7" w:rsidTr="00C37046">
        <w:trPr>
          <w:trHeight w:val="773"/>
        </w:trPr>
        <w:tc>
          <w:tcPr>
            <w:tcW w:w="99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Country</w:t>
            </w:r>
          </w:p>
        </w:tc>
        <w:tc>
          <w:tcPr>
            <w:tcW w:w="153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type id="_x0000_t202" coordsize="21600,21600" o:spt="202" path="m,l,21600r21600,l21600,xe">
                  <v:stroke joinstyle="miter"/>
                  <v:path gradientshapeok="t" o:connecttype="rect"/>
                </v:shapetype>
                <v:shape id="_x0000_s1027" type="#_x0000_t202" style="position:absolute;left:0;text-align:left;margin-left:26.05pt;margin-top:-23.55pt;width:84.5pt;height:19.35pt;z-index:251661312;mso-position-horizontal-relative:text;mso-position-vertical-relative:text">
                  <v:textbox style="mso-next-textbox:#_x0000_s1027">
                    <w:txbxContent>
                      <w:p w:rsidR="0031350B" w:rsidRPr="00ED7AB8" w:rsidRDefault="0031350B" w:rsidP="0031350B">
                        <w:pPr>
                          <w:rPr>
                            <w:b/>
                            <w:sz w:val="20"/>
                            <w:szCs w:val="20"/>
                          </w:rPr>
                        </w:pPr>
                        <w:r>
                          <w:rPr>
                            <w:b/>
                            <w:sz w:val="20"/>
                            <w:szCs w:val="20"/>
                          </w:rPr>
                          <w:t>A) Net Flows</w:t>
                        </w:r>
                      </w:p>
                    </w:txbxContent>
                  </v:textbox>
                </v:shape>
              </w:pict>
            </w:r>
            <w:r w:rsidRPr="00337D8F">
              <w:rPr>
                <w:rFonts w:ascii="Calibri" w:eastAsia="Times New Roman" w:hAnsi="Calibri" w:cs="Times New Roman"/>
                <w:b/>
                <w:bCs/>
                <w:color w:val="000000"/>
                <w:sz w:val="16"/>
                <w:szCs w:val="16"/>
              </w:rPr>
              <w:t>Surges</w:t>
            </w:r>
          </w:p>
        </w:tc>
        <w:tc>
          <w:tcPr>
            <w:tcW w:w="1530" w:type="dxa"/>
            <w:tcBorders>
              <w:top w:val="single" w:sz="4" w:space="0" w:color="000000"/>
              <w:left w:val="nil"/>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Sudden Stops</w:t>
            </w:r>
          </w:p>
        </w:tc>
        <w:tc>
          <w:tcPr>
            <w:tcW w:w="162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29" type="#_x0000_t202" style="position:absolute;left:0;text-align:left;margin-left:26.05pt;margin-top:-23.55pt;width:84.5pt;height:19.35pt;z-index:251663360;mso-position-horizontal-relative:text;mso-position-vertical-relative:text">
                  <v:textbox style="mso-next-textbox:#_x0000_s1029">
                    <w:txbxContent>
                      <w:p w:rsidR="0031350B" w:rsidRPr="00ED7AB8" w:rsidRDefault="0031350B" w:rsidP="0031350B">
                        <w:pPr>
                          <w:rPr>
                            <w:b/>
                            <w:sz w:val="20"/>
                            <w:szCs w:val="20"/>
                          </w:rPr>
                        </w:pPr>
                        <w:r>
                          <w:rPr>
                            <w:b/>
                            <w:sz w:val="20"/>
                            <w:szCs w:val="20"/>
                          </w:rPr>
                          <w:t>B) Gross Inflows</w:t>
                        </w:r>
                      </w:p>
                    </w:txbxContent>
                  </v:textbox>
                </v:shape>
              </w:pict>
            </w:r>
            <w:r w:rsidRPr="00337D8F">
              <w:rPr>
                <w:rFonts w:ascii="Calibri" w:eastAsia="Times New Roman" w:hAnsi="Calibri" w:cs="Times New Roman"/>
                <w:b/>
                <w:bCs/>
                <w:color w:val="000000"/>
                <w:sz w:val="16"/>
                <w:szCs w:val="16"/>
              </w:rPr>
              <w:t>True Surges</w:t>
            </w:r>
          </w:p>
        </w:tc>
        <w:tc>
          <w:tcPr>
            <w:tcW w:w="1530" w:type="dxa"/>
            <w:tcBorders>
              <w:top w:val="single" w:sz="4" w:space="0" w:color="000000"/>
              <w:left w:val="nil"/>
              <w:bottom w:val="single" w:sz="4" w:space="0" w:color="000000"/>
              <w:right w:val="single" w:sz="4" w:space="0" w:color="auto"/>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True Sudden Stops</w:t>
            </w:r>
          </w:p>
        </w:tc>
        <w:tc>
          <w:tcPr>
            <w:tcW w:w="1440" w:type="dxa"/>
            <w:tcBorders>
              <w:top w:val="single" w:sz="4" w:space="0" w:color="000000"/>
              <w:left w:val="single" w:sz="4" w:space="0" w:color="auto"/>
              <w:bottom w:val="single" w:sz="4" w:space="0" w:color="000000"/>
              <w:right w:val="nil"/>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28" type="#_x0000_t202" style="position:absolute;left:0;text-align:left;margin-left:26.45pt;margin-top:-23.85pt;width:92.75pt;height:19.35pt;z-index:251662336;mso-position-horizontal-relative:text;mso-position-vertical-relative:text">
                  <v:textbox style="mso-next-textbox:#_x0000_s1028">
                    <w:txbxContent>
                      <w:p w:rsidR="0031350B" w:rsidRPr="00ED7AB8" w:rsidRDefault="0031350B" w:rsidP="0031350B">
                        <w:pPr>
                          <w:rPr>
                            <w:b/>
                            <w:sz w:val="20"/>
                            <w:szCs w:val="20"/>
                          </w:rPr>
                        </w:pPr>
                        <w:r>
                          <w:rPr>
                            <w:b/>
                            <w:sz w:val="20"/>
                            <w:szCs w:val="20"/>
                          </w:rPr>
                          <w:t>C) Gross Outflows</w:t>
                        </w:r>
                      </w:p>
                    </w:txbxContent>
                  </v:textbox>
                </v:shape>
              </w:pict>
            </w:r>
            <w:r w:rsidRPr="00337D8F">
              <w:rPr>
                <w:rFonts w:ascii="Calibri" w:eastAsia="Times New Roman" w:hAnsi="Calibri" w:cs="Times New Roman"/>
                <w:b/>
                <w:bCs/>
                <w:color w:val="000000"/>
                <w:sz w:val="16"/>
                <w:szCs w:val="16"/>
              </w:rPr>
              <w:t>Flight</w:t>
            </w:r>
          </w:p>
        </w:tc>
        <w:tc>
          <w:tcPr>
            <w:tcW w:w="1440" w:type="dxa"/>
            <w:tcBorders>
              <w:top w:val="single" w:sz="4" w:space="0" w:color="000000"/>
              <w:left w:val="nil"/>
              <w:bottom w:val="single" w:sz="4" w:space="0" w:color="000000"/>
              <w:right w:val="single" w:sz="4" w:space="0" w:color="auto"/>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Retrenchment</w:t>
            </w:r>
          </w:p>
        </w:tc>
      </w:tr>
      <w:tr w:rsidR="0031350B" w:rsidRPr="00571BD7" w:rsidTr="00C37046">
        <w:trPr>
          <w:trHeight w:val="1448"/>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Brazil</w:t>
            </w:r>
          </w:p>
        </w:tc>
        <w:tc>
          <w:tcPr>
            <w:tcW w:w="153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1989Q4 – 1990Q2</w:t>
            </w:r>
          </w:p>
          <w:p w:rsidR="0031350B" w:rsidRDefault="0031350B" w:rsidP="00C37046">
            <w:pPr>
              <w:spacing w:after="0" w:line="240" w:lineRule="auto"/>
              <w:rPr>
                <w:rFonts w:ascii="Calibri" w:eastAsia="Times New Roman" w:hAnsi="Calibri" w:cs="Times New Roman"/>
                <w:sz w:val="16"/>
                <w:szCs w:val="16"/>
              </w:rPr>
            </w:pPr>
            <w:commentRangeStart w:id="0"/>
            <w:r>
              <w:rPr>
                <w:rFonts w:ascii="Calibri" w:eastAsia="Times New Roman" w:hAnsi="Calibri" w:cs="Times New Roman"/>
                <w:sz w:val="16"/>
                <w:szCs w:val="16"/>
              </w:rPr>
              <w:t xml:space="preserve">1992q1 –  1992q4 </w:t>
            </w:r>
            <w:commentRangeEnd w:id="0"/>
            <w:r>
              <w:rPr>
                <w:rStyle w:val="CommentReference"/>
              </w:rPr>
              <w:commentReference w:id="0"/>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1995q4 –  1996q2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2007q1 –  2008q1 </w:t>
            </w:r>
          </w:p>
          <w:p w:rsidR="0031350B" w:rsidRPr="007303D2" w:rsidRDefault="0031350B" w:rsidP="00C37046">
            <w:pPr>
              <w:spacing w:after="0" w:line="240" w:lineRule="auto"/>
              <w:rPr>
                <w:rFonts w:ascii="Calibri" w:eastAsia="Times New Roman" w:hAnsi="Calibri" w:cs="Times New Roman"/>
                <w:sz w:val="16"/>
                <w:szCs w:val="16"/>
              </w:rPr>
            </w:pPr>
          </w:p>
        </w:tc>
        <w:tc>
          <w:tcPr>
            <w:tcW w:w="1530" w:type="dxa"/>
            <w:tcBorders>
              <w:top w:val="nil"/>
              <w:left w:val="nil"/>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2009q3</w:t>
            </w:r>
          </w:p>
          <w:p w:rsidR="0031350B" w:rsidRPr="007303D2" w:rsidRDefault="0031350B" w:rsidP="00C37046">
            <w:pPr>
              <w:spacing w:after="0" w:line="240" w:lineRule="auto"/>
              <w:rPr>
                <w:rFonts w:ascii="Calibri" w:eastAsia="Times New Roman" w:hAnsi="Calibri" w:cs="Times New Roman"/>
                <w:sz w:val="16"/>
                <w:szCs w:val="16"/>
              </w:rPr>
            </w:pPr>
          </w:p>
        </w:tc>
        <w:tc>
          <w:tcPr>
            <w:tcW w:w="162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1994q1 – 1994q3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1995q4 – 1996q2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2006q3 – 2007q4</w:t>
            </w:r>
          </w:p>
        </w:tc>
        <w:tc>
          <w:tcPr>
            <w:tcW w:w="1530" w:type="dxa"/>
            <w:tcBorders>
              <w:top w:val="nil"/>
              <w:left w:val="nil"/>
              <w:bottom w:val="nil"/>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1988q3 – 1989q1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1995q1 – 1995q2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2008q2 – 2009q3 </w:t>
            </w:r>
          </w:p>
        </w:tc>
        <w:tc>
          <w:tcPr>
            <w:tcW w:w="1440" w:type="dxa"/>
            <w:tcBorders>
              <w:top w:val="nil"/>
              <w:left w:val="single" w:sz="4" w:space="0" w:color="auto"/>
              <w:bottom w:val="nil"/>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1987q3 – 1988q1</w:t>
            </w:r>
          </w:p>
          <w:p w:rsidR="0031350B" w:rsidRDefault="0031350B" w:rsidP="00C37046">
            <w:pPr>
              <w:spacing w:after="0" w:line="240" w:lineRule="auto"/>
              <w:rPr>
                <w:rFonts w:ascii="Calibri" w:eastAsia="Times New Roman" w:hAnsi="Calibri" w:cs="Times New Roman"/>
                <w:sz w:val="16"/>
                <w:szCs w:val="16"/>
              </w:rPr>
            </w:pPr>
            <w:commentRangeStart w:id="1"/>
            <w:r>
              <w:rPr>
                <w:rFonts w:ascii="Calibri" w:eastAsia="Times New Roman" w:hAnsi="Calibri" w:cs="Times New Roman"/>
                <w:sz w:val="16"/>
                <w:szCs w:val="16"/>
              </w:rPr>
              <w:t>1989q3 – 1990q1</w:t>
            </w:r>
            <w:commentRangeEnd w:id="1"/>
            <w:r>
              <w:rPr>
                <w:rStyle w:val="CommentReference"/>
              </w:rPr>
              <w:commentReference w:id="1"/>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2006q4 – 2007q3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2010q3 – 2011q2</w:t>
            </w:r>
          </w:p>
        </w:tc>
        <w:tc>
          <w:tcPr>
            <w:tcW w:w="1440" w:type="dxa"/>
            <w:tcBorders>
              <w:top w:val="nil"/>
              <w:left w:val="nil"/>
              <w:bottom w:val="nil"/>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1988q3 – 1989q1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1992q1 – 1992q4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1997q4 – 1998q2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2008q2 – 2008q3</w:t>
            </w:r>
          </w:p>
        </w:tc>
      </w:tr>
      <w:tr w:rsidR="0031350B" w:rsidRPr="00571BD7" w:rsidTr="00C37046">
        <w:trPr>
          <w:trHeight w:val="810"/>
        </w:trPr>
        <w:tc>
          <w:tcPr>
            <w:tcW w:w="990" w:type="dxa"/>
            <w:tcBorders>
              <w:top w:val="nil"/>
              <w:left w:val="single" w:sz="4" w:space="0" w:color="auto"/>
              <w:bottom w:val="nil"/>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Chile</w:t>
            </w:r>
          </w:p>
        </w:tc>
        <w:tc>
          <w:tcPr>
            <w:tcW w:w="153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2006q1</w:t>
            </w:r>
          </w:p>
          <w:p w:rsidR="0031350B" w:rsidRPr="007303D2" w:rsidRDefault="0031350B" w:rsidP="00C37046">
            <w:pPr>
              <w:spacing w:after="0" w:line="240" w:lineRule="auto"/>
              <w:rPr>
                <w:rFonts w:ascii="Calibri" w:eastAsia="Times New Roman" w:hAnsi="Calibri" w:cs="Times New Roman"/>
                <w:sz w:val="16"/>
                <w:szCs w:val="16"/>
              </w:rPr>
            </w:pPr>
            <w:commentRangeStart w:id="2"/>
            <w:r>
              <w:rPr>
                <w:rFonts w:ascii="Calibri" w:eastAsia="Times New Roman" w:hAnsi="Calibri" w:cs="Times New Roman"/>
                <w:sz w:val="16"/>
                <w:szCs w:val="16"/>
              </w:rPr>
              <w:t>2008q1 – 2009q1</w:t>
            </w:r>
            <w:commentRangeEnd w:id="2"/>
            <w:r>
              <w:rPr>
                <w:rStyle w:val="CommentReference"/>
              </w:rPr>
              <w:commentReference w:id="2"/>
            </w:r>
          </w:p>
        </w:tc>
        <w:tc>
          <w:tcPr>
            <w:tcW w:w="1530" w:type="dxa"/>
            <w:tcBorders>
              <w:top w:val="nil"/>
              <w:left w:val="nil"/>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commentRangeStart w:id="3"/>
            <w:r>
              <w:rPr>
                <w:rFonts w:ascii="Calibri" w:eastAsia="Times New Roman" w:hAnsi="Calibri" w:cs="Times New Roman"/>
                <w:sz w:val="16"/>
                <w:szCs w:val="16"/>
              </w:rPr>
              <w:t>1997q3 – 1997q4</w:t>
            </w:r>
            <w:commentRangeEnd w:id="3"/>
            <w:r>
              <w:rPr>
                <w:rStyle w:val="CommentReference"/>
              </w:rPr>
              <w:commentReference w:id="3"/>
            </w:r>
          </w:p>
          <w:p w:rsidR="0031350B" w:rsidRDefault="0031350B" w:rsidP="00C37046">
            <w:pPr>
              <w:spacing w:after="0" w:line="240" w:lineRule="auto"/>
              <w:rPr>
                <w:rFonts w:ascii="Calibri" w:eastAsia="Times New Roman" w:hAnsi="Calibri" w:cs="Times New Roman"/>
                <w:sz w:val="16"/>
                <w:szCs w:val="16"/>
              </w:rPr>
            </w:pPr>
            <w:commentRangeStart w:id="4"/>
            <w:r>
              <w:rPr>
                <w:rFonts w:ascii="Calibri" w:eastAsia="Times New Roman" w:hAnsi="Calibri" w:cs="Times New Roman"/>
                <w:sz w:val="16"/>
                <w:szCs w:val="16"/>
              </w:rPr>
              <w:t>2006q2 – 2007q4</w:t>
            </w:r>
            <w:commentRangeEnd w:id="4"/>
            <w:r>
              <w:rPr>
                <w:rStyle w:val="CommentReference"/>
              </w:rPr>
              <w:commentReference w:id="4"/>
            </w:r>
          </w:p>
          <w:p w:rsidR="0031350B" w:rsidRPr="007303D2" w:rsidRDefault="0031350B" w:rsidP="00C37046">
            <w:pPr>
              <w:spacing w:after="0" w:line="240" w:lineRule="auto"/>
              <w:rPr>
                <w:rFonts w:ascii="Calibri" w:eastAsia="Times New Roman" w:hAnsi="Calibri" w:cs="Times New Roman"/>
                <w:sz w:val="16"/>
                <w:szCs w:val="16"/>
              </w:rPr>
            </w:pPr>
          </w:p>
        </w:tc>
        <w:tc>
          <w:tcPr>
            <w:tcW w:w="162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1998q1 – 1998q4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530" w:type="dxa"/>
            <w:tcBorders>
              <w:top w:val="nil"/>
              <w:left w:val="nil"/>
              <w:bottom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440" w:type="dxa"/>
            <w:tcBorders>
              <w:top w:val="nil"/>
              <w:left w:val="single" w:sz="4" w:space="0" w:color="auto"/>
              <w:bottom w:val="nil"/>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1997q3 – 1998q4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2007q2 – 2008q1</w:t>
            </w:r>
          </w:p>
        </w:tc>
        <w:tc>
          <w:tcPr>
            <w:tcW w:w="1440" w:type="dxa"/>
            <w:tcBorders>
              <w:top w:val="nil"/>
              <w:left w:val="nil"/>
              <w:bottom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1999q2 – 1999q4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2009q3</w:t>
            </w:r>
          </w:p>
        </w:tc>
      </w:tr>
      <w:tr w:rsidR="0031350B" w:rsidRPr="00571BD7" w:rsidTr="00C37046">
        <w:trPr>
          <w:trHeight w:val="810"/>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Colombia</w:t>
            </w:r>
          </w:p>
        </w:tc>
        <w:tc>
          <w:tcPr>
            <w:tcW w:w="1530" w:type="dxa"/>
            <w:tcBorders>
              <w:top w:val="nil"/>
              <w:left w:val="single" w:sz="4" w:space="0" w:color="auto"/>
              <w:bottom w:val="nil"/>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commentRangeStart w:id="5"/>
            <w:r>
              <w:rPr>
                <w:rFonts w:ascii="Calibri" w:eastAsia="Times New Roman" w:hAnsi="Calibri" w:cs="Times New Roman"/>
                <w:sz w:val="16"/>
                <w:szCs w:val="16"/>
              </w:rPr>
              <w:t>2007q1 – 2007q4</w:t>
            </w:r>
            <w:commentRangeEnd w:id="5"/>
            <w:r>
              <w:rPr>
                <w:rStyle w:val="CommentReference"/>
              </w:rPr>
              <w:commentReference w:id="5"/>
            </w:r>
          </w:p>
        </w:tc>
        <w:tc>
          <w:tcPr>
            <w:tcW w:w="1530" w:type="dxa"/>
            <w:tcBorders>
              <w:top w:val="nil"/>
              <w:left w:val="nil"/>
              <w:bottom w:val="nil"/>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p>
        </w:tc>
        <w:tc>
          <w:tcPr>
            <w:tcW w:w="162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2000q4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2010q4 – 2011q2</w:t>
            </w:r>
          </w:p>
        </w:tc>
        <w:tc>
          <w:tcPr>
            <w:tcW w:w="1530" w:type="dxa"/>
            <w:tcBorders>
              <w:top w:val="nil"/>
              <w:left w:val="nil"/>
              <w:bottom w:val="nil"/>
              <w:right w:val="single" w:sz="4" w:space="0" w:color="auto"/>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2015q2 – 2015q4</w:t>
            </w:r>
          </w:p>
        </w:tc>
        <w:tc>
          <w:tcPr>
            <w:tcW w:w="1440" w:type="dxa"/>
            <w:tcBorders>
              <w:top w:val="nil"/>
              <w:left w:val="single" w:sz="4" w:space="0" w:color="auto"/>
              <w:bottom w:val="nil"/>
              <w:right w:val="nil"/>
            </w:tcBorders>
            <w:shd w:val="clear" w:color="D8D8D8" w:fill="D8D8D8"/>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2006q2 – 2006q3</w:t>
            </w:r>
          </w:p>
        </w:tc>
        <w:tc>
          <w:tcPr>
            <w:tcW w:w="1440" w:type="dxa"/>
            <w:tcBorders>
              <w:top w:val="nil"/>
              <w:left w:val="nil"/>
              <w:bottom w:val="nil"/>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2002q2 – 2003q1</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2007q2 – 2007q3</w:t>
            </w:r>
          </w:p>
        </w:tc>
      </w:tr>
      <w:tr w:rsidR="0031350B" w:rsidRPr="00571BD7" w:rsidTr="00C37046">
        <w:trPr>
          <w:trHeight w:val="1170"/>
        </w:trPr>
        <w:tc>
          <w:tcPr>
            <w:tcW w:w="990" w:type="dxa"/>
            <w:tcBorders>
              <w:top w:val="nil"/>
              <w:left w:val="single" w:sz="4" w:space="0" w:color="auto"/>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Mexico</w:t>
            </w:r>
          </w:p>
        </w:tc>
        <w:tc>
          <w:tcPr>
            <w:tcW w:w="153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1990q1 – 1991q4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2010q1 – 2010q4</w:t>
            </w:r>
          </w:p>
          <w:p w:rsidR="0031350B" w:rsidRPr="007303D2" w:rsidRDefault="0031350B" w:rsidP="00C37046">
            <w:pPr>
              <w:spacing w:after="0" w:line="240" w:lineRule="auto"/>
              <w:rPr>
                <w:rFonts w:ascii="Calibri" w:eastAsia="Times New Roman" w:hAnsi="Calibri" w:cs="Times New Roman"/>
                <w:sz w:val="16"/>
                <w:szCs w:val="16"/>
              </w:rPr>
            </w:pPr>
          </w:p>
        </w:tc>
        <w:tc>
          <w:tcPr>
            <w:tcW w:w="1530" w:type="dxa"/>
            <w:tcBorders>
              <w:top w:val="nil"/>
              <w:left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1994q2 – 1995q3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2012q2 – 2012q3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2014q4 – 2015q4</w:t>
            </w:r>
          </w:p>
        </w:tc>
        <w:tc>
          <w:tcPr>
            <w:tcW w:w="162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1990q1 – 1990q4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2001q3 – 2002q2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2010q1 – 2011q1</w:t>
            </w:r>
          </w:p>
        </w:tc>
        <w:tc>
          <w:tcPr>
            <w:tcW w:w="1530" w:type="dxa"/>
            <w:tcBorders>
              <w:top w:val="nil"/>
              <w:left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1994q4 – 1995q3</w:t>
            </w:r>
          </w:p>
          <w:p w:rsidR="0031350B" w:rsidRPr="007303D2" w:rsidRDefault="0031350B" w:rsidP="00C37046">
            <w:pPr>
              <w:spacing w:after="0" w:line="240" w:lineRule="auto"/>
              <w:rPr>
                <w:rFonts w:ascii="Calibri" w:eastAsia="Times New Roman" w:hAnsi="Calibri" w:cs="Times New Roman"/>
                <w:sz w:val="16"/>
                <w:szCs w:val="16"/>
              </w:rPr>
            </w:pPr>
            <w:commentRangeStart w:id="6"/>
            <w:r>
              <w:rPr>
                <w:rFonts w:ascii="Calibri" w:eastAsia="Times New Roman" w:hAnsi="Calibri" w:cs="Times New Roman"/>
                <w:sz w:val="16"/>
                <w:szCs w:val="16"/>
              </w:rPr>
              <w:t>2008q4 – 2009q3</w:t>
            </w:r>
            <w:commentRangeEnd w:id="6"/>
            <w:r>
              <w:rPr>
                <w:rStyle w:val="CommentReference"/>
              </w:rPr>
              <w:commentReference w:id="6"/>
            </w:r>
          </w:p>
        </w:tc>
        <w:tc>
          <w:tcPr>
            <w:tcW w:w="1440" w:type="dxa"/>
            <w:tcBorders>
              <w:top w:val="nil"/>
              <w:left w:val="single" w:sz="4" w:space="0" w:color="auto"/>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2004q3 – 2005q2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2007q4</w:t>
            </w:r>
          </w:p>
          <w:p w:rsidR="0031350B" w:rsidRPr="007303D2" w:rsidRDefault="0031350B" w:rsidP="00C37046">
            <w:pPr>
              <w:spacing w:after="0" w:line="240" w:lineRule="auto"/>
              <w:rPr>
                <w:rFonts w:ascii="Calibri" w:eastAsia="Times New Roman" w:hAnsi="Calibri" w:cs="Times New Roman"/>
                <w:sz w:val="16"/>
                <w:szCs w:val="16"/>
              </w:rPr>
            </w:pPr>
          </w:p>
        </w:tc>
        <w:tc>
          <w:tcPr>
            <w:tcW w:w="1440" w:type="dxa"/>
            <w:tcBorders>
              <w:top w:val="nil"/>
              <w:left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1992q2 – 1992q3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2009q2</w:t>
            </w:r>
          </w:p>
        </w:tc>
      </w:tr>
      <w:tr w:rsidR="0031350B" w:rsidRPr="00571BD7" w:rsidTr="00C37046">
        <w:trPr>
          <w:trHeight w:val="990"/>
        </w:trPr>
        <w:tc>
          <w:tcPr>
            <w:tcW w:w="990" w:type="dxa"/>
            <w:tcBorders>
              <w:top w:val="nil"/>
              <w:left w:val="single" w:sz="4" w:space="0" w:color="auto"/>
              <w:bottom w:val="single" w:sz="4" w:space="0" w:color="auto"/>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Peru</w:t>
            </w:r>
          </w:p>
        </w:tc>
        <w:tc>
          <w:tcPr>
            <w:tcW w:w="1530" w:type="dxa"/>
            <w:tcBorders>
              <w:top w:val="nil"/>
              <w:left w:val="single" w:sz="4" w:space="0" w:color="auto"/>
              <w:bottom w:val="single" w:sz="4" w:space="0" w:color="auto"/>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2007q1 – 2008q3</w:t>
            </w:r>
          </w:p>
          <w:p w:rsidR="0031350B" w:rsidRPr="007303D2" w:rsidRDefault="0031350B" w:rsidP="00C37046">
            <w:pPr>
              <w:spacing w:after="0" w:line="240" w:lineRule="auto"/>
              <w:rPr>
                <w:rFonts w:ascii="Calibri" w:eastAsia="Times New Roman" w:hAnsi="Calibri" w:cs="Times New Roman"/>
                <w:sz w:val="16"/>
                <w:szCs w:val="16"/>
              </w:rPr>
            </w:pPr>
          </w:p>
        </w:tc>
        <w:tc>
          <w:tcPr>
            <w:tcW w:w="1530" w:type="dxa"/>
            <w:tcBorders>
              <w:top w:val="nil"/>
              <w:left w:val="nil"/>
              <w:bottom w:val="single" w:sz="4" w:space="0" w:color="auto"/>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1998q1 – 1999q3</w:t>
            </w:r>
          </w:p>
          <w:p w:rsidR="0031350B" w:rsidRDefault="0031350B" w:rsidP="00C37046">
            <w:pPr>
              <w:spacing w:after="0" w:line="240" w:lineRule="auto"/>
              <w:rPr>
                <w:rFonts w:ascii="Calibri" w:eastAsia="Times New Roman" w:hAnsi="Calibri" w:cs="Times New Roman"/>
                <w:sz w:val="16"/>
                <w:szCs w:val="16"/>
              </w:rPr>
            </w:pPr>
            <w:commentRangeStart w:id="7"/>
            <w:r>
              <w:rPr>
                <w:rFonts w:ascii="Calibri" w:eastAsia="Times New Roman" w:hAnsi="Calibri" w:cs="Times New Roman"/>
                <w:sz w:val="16"/>
                <w:szCs w:val="16"/>
              </w:rPr>
              <w:t>2005q4 – 2006q2</w:t>
            </w:r>
            <w:commentRangeEnd w:id="7"/>
            <w:r>
              <w:rPr>
                <w:rStyle w:val="CommentReference"/>
              </w:rPr>
              <w:commentReference w:id="7"/>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2009q1 – 2009q3 </w:t>
            </w:r>
          </w:p>
          <w:p w:rsidR="0031350B" w:rsidRPr="007303D2" w:rsidRDefault="0031350B" w:rsidP="00C37046">
            <w:pPr>
              <w:spacing w:after="0" w:line="240" w:lineRule="auto"/>
              <w:rPr>
                <w:rFonts w:ascii="Calibri" w:eastAsia="Times New Roman" w:hAnsi="Calibri" w:cs="Times New Roman"/>
                <w:sz w:val="16"/>
                <w:szCs w:val="16"/>
              </w:rPr>
            </w:pPr>
          </w:p>
        </w:tc>
        <w:tc>
          <w:tcPr>
            <w:tcW w:w="1620" w:type="dxa"/>
            <w:tcBorders>
              <w:top w:val="nil"/>
              <w:left w:val="single" w:sz="4" w:space="0" w:color="auto"/>
              <w:bottom w:val="single" w:sz="4" w:space="0" w:color="auto"/>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2007q1 – 2008q1</w:t>
            </w:r>
          </w:p>
        </w:tc>
        <w:tc>
          <w:tcPr>
            <w:tcW w:w="1530" w:type="dxa"/>
            <w:tcBorders>
              <w:top w:val="nil"/>
              <w:left w:val="nil"/>
              <w:bottom w:val="single" w:sz="4" w:space="0" w:color="auto"/>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1998q4 – 1999q3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440" w:type="dxa"/>
            <w:tcBorders>
              <w:top w:val="nil"/>
              <w:left w:val="single" w:sz="4" w:space="0" w:color="auto"/>
              <w:bottom w:val="single" w:sz="4" w:space="0" w:color="auto"/>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2001q1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2003q2 – 2004q1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2009q2 – 2009q4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2014q3 – 2015q2</w:t>
            </w:r>
          </w:p>
        </w:tc>
        <w:tc>
          <w:tcPr>
            <w:tcW w:w="1440" w:type="dxa"/>
            <w:tcBorders>
              <w:top w:val="nil"/>
              <w:left w:val="nil"/>
              <w:bottom w:val="single" w:sz="4" w:space="0" w:color="auto"/>
              <w:right w:val="single" w:sz="4" w:space="0" w:color="auto"/>
            </w:tcBorders>
            <w:shd w:val="clear" w:color="D8D8D8" w:fill="D8D8D8"/>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r>
    </w:tbl>
    <w:p w:rsidR="0031350B" w:rsidRDefault="0031350B" w:rsidP="0031350B">
      <w:r>
        <w:rPr>
          <w:noProof/>
        </w:rPr>
        <w:pict>
          <v:shape id="_x0000_s1026" type="#_x0000_t202" style="position:absolute;margin-left:.95pt;margin-top:1.8pt;width:502.1pt;height:85.65pt;z-index:251660288;mso-position-horizontal-relative:text;mso-position-vertical-relative:text">
            <v:textbox style="mso-next-textbox:#_x0000_s1026">
              <w:txbxContent>
                <w:p w:rsidR="0031350B" w:rsidRPr="00C12E0A" w:rsidRDefault="0031350B" w:rsidP="0031350B">
                  <w:pPr>
                    <w:rPr>
                      <w:sz w:val="18"/>
                      <w:szCs w:val="18"/>
                    </w:rPr>
                  </w:pPr>
                  <w:r w:rsidRPr="00C12E0A">
                    <w:rPr>
                      <w:i/>
                      <w:sz w:val="18"/>
                      <w:szCs w:val="18"/>
                    </w:rPr>
                    <w:t>Source:</w:t>
                  </w:r>
                  <w:r w:rsidRPr="00C12E0A">
                    <w:rPr>
                      <w:sz w:val="18"/>
                      <w:szCs w:val="18"/>
                    </w:rPr>
                    <w:t xml:space="preserve"> CEPAL</w:t>
                  </w:r>
                  <w:r>
                    <w:rPr>
                      <w:sz w:val="18"/>
                      <w:szCs w:val="18"/>
                    </w:rPr>
                    <w:t>.</w:t>
                  </w:r>
                  <w:r w:rsidRPr="00A11BFE">
                    <w:rPr>
                      <w:sz w:val="18"/>
                      <w:szCs w:val="18"/>
                    </w:rPr>
                    <w:t xml:space="preserve"> </w:t>
                  </w:r>
                  <w:r>
                    <w:rPr>
                      <w:sz w:val="18"/>
                      <w:szCs w:val="18"/>
                    </w:rPr>
                    <w:t xml:space="preserve">In column A the surge and stops episodes are calculated for net capital flows. In column B and C we calculated the surges, sudden stops, flights, and retrenchment periods based on respectively gross inflows and gross outflows. Note that it is impossible to identify flight and retrenchment episodes with net capital flow data. All calculations are based on the method of Forbes and Warnock (2011). The data for Brazil is from 1985Q3 – 2016Q1, for Mexico is from 1986Q3 – 2016Q1, for Chile is from 1997Q3 – 2016Q1, for Colombia and Peru it is from 1999q3 – 2015q4. </w:t>
                  </w:r>
                </w:p>
              </w:txbxContent>
            </v:textbox>
          </v:shape>
        </w:pict>
      </w:r>
    </w:p>
    <w:p w:rsidR="0031350B" w:rsidRDefault="0031350B" w:rsidP="0031350B"/>
    <w:p w:rsidR="0031350B" w:rsidRDefault="0031350B" w:rsidP="0031350B"/>
    <w:p w:rsidR="0031350B" w:rsidRDefault="0031350B" w:rsidP="0031350B"/>
    <w:p w:rsidR="0031350B" w:rsidRDefault="0031350B" w:rsidP="0031350B"/>
    <w:p w:rsidR="0031350B" w:rsidRDefault="0031350B" w:rsidP="0031350B"/>
    <w:p w:rsidR="00C7730A" w:rsidRDefault="0031350B" w:rsidP="008A2EB7">
      <w:pPr>
        <w:rPr>
          <w:color w:val="000000" w:themeColor="text1"/>
        </w:rPr>
      </w:pPr>
      <w:r>
        <w:rPr>
          <w:color w:val="000000" w:themeColor="text1"/>
        </w:rPr>
        <w:lastRenderedPageBreak/>
        <w:t xml:space="preserve">Since I use CEPAL I have also made a comparison between my calculations based on CEPAL data, the results of Forbes and Warnock and the calculations based on the revised IMF data (Forbes and Warnock use IMF data as well but by now that data has been revised several times. Hence, several differences have emerged). Note that I only compare extreme episodes in gross inflows and gross outflows because Forbes and Warnock do not present their results for net flows. </w:t>
      </w:r>
    </w:p>
    <w:p w:rsidR="0031350B" w:rsidRPr="0031350B" w:rsidRDefault="0031350B" w:rsidP="008A2EB7">
      <w:pPr>
        <w:rPr>
          <w:color w:val="000000" w:themeColor="text1"/>
        </w:rPr>
      </w:pPr>
      <w:r>
        <w:rPr>
          <w:b/>
          <w:color w:val="000000" w:themeColor="text1"/>
        </w:rPr>
        <w:t>Table 2a</w:t>
      </w:r>
      <w:r>
        <w:rPr>
          <w:color w:val="000000" w:themeColor="text1"/>
        </w:rPr>
        <w:t xml:space="preserve"> Comparison calculations extreme episodes in gross inflows</w:t>
      </w:r>
    </w:p>
    <w:tbl>
      <w:tblPr>
        <w:tblW w:w="10080" w:type="dxa"/>
        <w:tblInd w:w="108" w:type="dxa"/>
        <w:tblLayout w:type="fixed"/>
        <w:tblLook w:val="04A0"/>
      </w:tblPr>
      <w:tblGrid>
        <w:gridCol w:w="990"/>
        <w:gridCol w:w="1530"/>
        <w:gridCol w:w="1530"/>
        <w:gridCol w:w="1620"/>
        <w:gridCol w:w="1530"/>
        <w:gridCol w:w="1440"/>
        <w:gridCol w:w="1440"/>
      </w:tblGrid>
      <w:tr w:rsidR="0031350B" w:rsidRPr="00337D8F" w:rsidTr="00C37046">
        <w:trPr>
          <w:trHeight w:val="773"/>
        </w:trPr>
        <w:tc>
          <w:tcPr>
            <w:tcW w:w="99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Country</w:t>
            </w:r>
          </w:p>
        </w:tc>
        <w:tc>
          <w:tcPr>
            <w:tcW w:w="153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0" type="#_x0000_t202" style="position:absolute;left:0;text-align:left;margin-left:26.05pt;margin-top:-23.55pt;width:84.5pt;height:19.35pt;z-index:251665408;mso-position-horizontal-relative:text;mso-position-vertical-relative:text">
                  <v:textbox style="mso-next-textbox:#_x0000_s1030">
                    <w:txbxContent>
                      <w:p w:rsidR="0031350B" w:rsidRPr="00ED7AB8" w:rsidRDefault="0031350B" w:rsidP="0031350B">
                        <w:pPr>
                          <w:rPr>
                            <w:b/>
                            <w:sz w:val="20"/>
                            <w:szCs w:val="20"/>
                          </w:rPr>
                        </w:pPr>
                        <w:r>
                          <w:rPr>
                            <w:b/>
                            <w:sz w:val="20"/>
                            <w:szCs w:val="20"/>
                          </w:rPr>
                          <w:t>A) ECLAC Data</w:t>
                        </w:r>
                      </w:p>
                    </w:txbxContent>
                  </v:textbox>
                </v:shape>
              </w:pict>
            </w:r>
            <w:r w:rsidRPr="00337D8F">
              <w:rPr>
                <w:rFonts w:ascii="Calibri" w:eastAsia="Times New Roman" w:hAnsi="Calibri" w:cs="Times New Roman"/>
                <w:b/>
                <w:bCs/>
                <w:color w:val="000000"/>
                <w:sz w:val="16"/>
                <w:szCs w:val="16"/>
              </w:rPr>
              <w:t>Surges</w:t>
            </w:r>
          </w:p>
        </w:tc>
        <w:tc>
          <w:tcPr>
            <w:tcW w:w="1530" w:type="dxa"/>
            <w:tcBorders>
              <w:top w:val="single" w:sz="4" w:space="0" w:color="000000"/>
              <w:left w:val="nil"/>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Sudden Stops</w:t>
            </w:r>
          </w:p>
        </w:tc>
        <w:tc>
          <w:tcPr>
            <w:tcW w:w="162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1" type="#_x0000_t202" style="position:absolute;left:0;text-align:left;margin-left:25.75pt;margin-top:-23.45pt;width:108.45pt;height:19.35pt;z-index:251666432;mso-position-horizontal-relative:text;mso-position-vertical-relative:text">
                  <v:textbox style="mso-next-textbox:#_x0000_s1031">
                    <w:txbxContent>
                      <w:p w:rsidR="0031350B" w:rsidRPr="0066549E" w:rsidRDefault="0031350B" w:rsidP="0031350B">
                        <w:pPr>
                          <w:rPr>
                            <w:b/>
                            <w:sz w:val="16"/>
                            <w:szCs w:val="16"/>
                          </w:rPr>
                        </w:pPr>
                        <w:r w:rsidRPr="0066549E">
                          <w:rPr>
                            <w:b/>
                            <w:sz w:val="16"/>
                            <w:szCs w:val="16"/>
                          </w:rPr>
                          <w:t xml:space="preserve">A) </w:t>
                        </w:r>
                        <w:r>
                          <w:rPr>
                            <w:b/>
                            <w:sz w:val="16"/>
                            <w:szCs w:val="16"/>
                          </w:rPr>
                          <w:t>Forbes and Wa</w:t>
                        </w:r>
                        <w:r w:rsidRPr="0066549E">
                          <w:rPr>
                            <w:b/>
                            <w:sz w:val="16"/>
                            <w:szCs w:val="16"/>
                          </w:rPr>
                          <w:t>rnock</w:t>
                        </w:r>
                        <w:r>
                          <w:rPr>
                            <w:b/>
                            <w:sz w:val="16"/>
                            <w:szCs w:val="16"/>
                          </w:rPr>
                          <w:t xml:space="preserve"> (2012)</w:t>
                        </w:r>
                      </w:p>
                    </w:txbxContent>
                  </v:textbox>
                </v:shape>
              </w:pict>
            </w:r>
            <w:r w:rsidRPr="00337D8F">
              <w:rPr>
                <w:rFonts w:ascii="Calibri" w:eastAsia="Times New Roman" w:hAnsi="Calibri" w:cs="Times New Roman"/>
                <w:b/>
                <w:bCs/>
                <w:color w:val="000000"/>
                <w:sz w:val="16"/>
                <w:szCs w:val="16"/>
              </w:rPr>
              <w:t>Surges</w:t>
            </w:r>
          </w:p>
        </w:tc>
        <w:tc>
          <w:tcPr>
            <w:tcW w:w="1530" w:type="dxa"/>
            <w:tcBorders>
              <w:top w:val="single" w:sz="4" w:space="0" w:color="000000"/>
              <w:left w:val="nil"/>
              <w:bottom w:val="single" w:sz="4" w:space="0" w:color="000000"/>
              <w:right w:val="single" w:sz="4" w:space="0" w:color="auto"/>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Sudden Stops</w:t>
            </w:r>
          </w:p>
        </w:tc>
        <w:tc>
          <w:tcPr>
            <w:tcW w:w="1440" w:type="dxa"/>
            <w:tcBorders>
              <w:top w:val="single" w:sz="4" w:space="0" w:color="000000"/>
              <w:left w:val="single" w:sz="4" w:space="0" w:color="auto"/>
              <w:bottom w:val="single" w:sz="4" w:space="0" w:color="000000"/>
              <w:right w:val="nil"/>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2" type="#_x0000_t202" style="position:absolute;left:0;text-align:left;margin-left:26.05pt;margin-top:-23.55pt;width:84.5pt;height:19.35pt;z-index:251667456;mso-position-horizontal-relative:text;mso-position-vertical-relative:text">
                  <v:textbox style="mso-next-textbox:#_x0000_s1032">
                    <w:txbxContent>
                      <w:p w:rsidR="0031350B" w:rsidRPr="00ED7AB8" w:rsidRDefault="0031350B" w:rsidP="0031350B">
                        <w:pPr>
                          <w:rPr>
                            <w:b/>
                            <w:sz w:val="20"/>
                            <w:szCs w:val="20"/>
                          </w:rPr>
                        </w:pPr>
                        <w:r>
                          <w:rPr>
                            <w:b/>
                            <w:sz w:val="20"/>
                            <w:szCs w:val="20"/>
                          </w:rPr>
                          <w:t>A) IMF data</w:t>
                        </w:r>
                      </w:p>
                    </w:txbxContent>
                  </v:textbox>
                </v:shape>
              </w:pict>
            </w:r>
            <w:r w:rsidRPr="00337D8F">
              <w:rPr>
                <w:rFonts w:ascii="Calibri" w:eastAsia="Times New Roman" w:hAnsi="Calibri" w:cs="Times New Roman"/>
                <w:b/>
                <w:bCs/>
                <w:color w:val="000000"/>
                <w:sz w:val="16"/>
                <w:szCs w:val="16"/>
              </w:rPr>
              <w:t>Surges</w:t>
            </w:r>
          </w:p>
        </w:tc>
        <w:tc>
          <w:tcPr>
            <w:tcW w:w="1440" w:type="dxa"/>
            <w:tcBorders>
              <w:top w:val="single" w:sz="4" w:space="0" w:color="000000"/>
              <w:left w:val="nil"/>
              <w:bottom w:val="single" w:sz="4" w:space="0" w:color="000000"/>
              <w:right w:val="single" w:sz="4" w:space="0" w:color="auto"/>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Sudden Stops</w:t>
            </w:r>
          </w:p>
        </w:tc>
      </w:tr>
      <w:tr w:rsidR="0031350B" w:rsidRPr="007303D2" w:rsidTr="00C37046">
        <w:trPr>
          <w:trHeight w:val="1448"/>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Brazil</w:t>
            </w:r>
            <w:r>
              <w:rPr>
                <w:rFonts w:ascii="Calibri" w:eastAsia="Times New Roman" w:hAnsi="Calibri" w:cs="Times New Roman"/>
                <w:i/>
                <w:iCs/>
                <w:color w:val="000000"/>
                <w:sz w:val="16"/>
                <w:szCs w:val="16"/>
              </w:rPr>
              <w:t xml:space="preserve"> </w:t>
            </w:r>
          </w:p>
        </w:tc>
        <w:tc>
          <w:tcPr>
            <w:tcW w:w="153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1994q1 – 1994q3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1995q4 – 1996q2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2006q3 – 2007q4</w:t>
            </w:r>
          </w:p>
        </w:tc>
        <w:tc>
          <w:tcPr>
            <w:tcW w:w="1530" w:type="dxa"/>
            <w:tcBorders>
              <w:top w:val="nil"/>
              <w:left w:val="nil"/>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1988q3 – 1989q1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1995q1 – 1995q2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2008q2 – 2009q3 </w:t>
            </w:r>
          </w:p>
        </w:tc>
        <w:tc>
          <w:tcPr>
            <w:tcW w:w="162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commentRangeStart w:id="8"/>
            <w:r>
              <w:rPr>
                <w:rFonts w:ascii="Calibri" w:eastAsia="Times New Roman" w:hAnsi="Calibri" w:cs="Times New Roman"/>
                <w:sz w:val="16"/>
                <w:szCs w:val="16"/>
              </w:rPr>
              <w:t>1990q2 – 1991q1</w:t>
            </w:r>
            <w:commentRangeEnd w:id="8"/>
            <w:r>
              <w:rPr>
                <w:rStyle w:val="CommentReference"/>
              </w:rPr>
              <w:commentReference w:id="8"/>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1994q1 – 1994q3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1995q4 – 1996q2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2006q3 – 2007q4</w:t>
            </w:r>
          </w:p>
        </w:tc>
        <w:tc>
          <w:tcPr>
            <w:tcW w:w="1530" w:type="dxa"/>
            <w:tcBorders>
              <w:top w:val="nil"/>
              <w:left w:val="nil"/>
              <w:bottom w:val="nil"/>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commentRangeStart w:id="9"/>
            <w:r>
              <w:rPr>
                <w:rFonts w:ascii="Calibri" w:eastAsia="Times New Roman" w:hAnsi="Calibri" w:cs="Times New Roman"/>
                <w:sz w:val="16"/>
                <w:szCs w:val="16"/>
              </w:rPr>
              <w:t>1993q1  – 1993q3</w:t>
            </w:r>
            <w:commentRangeEnd w:id="9"/>
            <w:r>
              <w:rPr>
                <w:rStyle w:val="CommentReference"/>
              </w:rPr>
              <w:commentReference w:id="9"/>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1995q1 – 1995q2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2008q2 – 2009q3</w:t>
            </w:r>
          </w:p>
        </w:tc>
        <w:tc>
          <w:tcPr>
            <w:tcW w:w="1440" w:type="dxa"/>
            <w:tcBorders>
              <w:top w:val="nil"/>
              <w:left w:val="single" w:sz="4" w:space="0" w:color="auto"/>
              <w:bottom w:val="nil"/>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1989q4 – 1990q4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1994q1 – 1994q3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1995q4 – 1996q2</w:t>
            </w:r>
          </w:p>
          <w:p w:rsidR="0031350B" w:rsidRPr="007303D2" w:rsidRDefault="0031350B" w:rsidP="00C37046">
            <w:pPr>
              <w:rPr>
                <w:rFonts w:ascii="Calibri" w:eastAsia="Times New Roman" w:hAnsi="Calibri" w:cs="Times New Roman"/>
                <w:sz w:val="16"/>
                <w:szCs w:val="16"/>
              </w:rPr>
            </w:pPr>
            <w:r>
              <w:rPr>
                <w:rFonts w:ascii="Calibri" w:eastAsia="Times New Roman" w:hAnsi="Calibri" w:cs="Times New Roman"/>
                <w:sz w:val="16"/>
                <w:szCs w:val="16"/>
              </w:rPr>
              <w:t>2006q3 – 2007q4</w:t>
            </w:r>
          </w:p>
        </w:tc>
        <w:tc>
          <w:tcPr>
            <w:tcW w:w="1440" w:type="dxa"/>
            <w:tcBorders>
              <w:top w:val="nil"/>
              <w:left w:val="nil"/>
              <w:bottom w:val="nil"/>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1999q2</w:t>
            </w:r>
          </w:p>
          <w:p w:rsidR="0031350B" w:rsidRPr="007303D2" w:rsidRDefault="0031350B" w:rsidP="00C37046">
            <w:pPr>
              <w:rPr>
                <w:rFonts w:ascii="Calibri" w:eastAsia="Times New Roman" w:hAnsi="Calibri" w:cs="Times New Roman"/>
                <w:sz w:val="16"/>
                <w:szCs w:val="16"/>
              </w:rPr>
            </w:pPr>
            <w:commentRangeStart w:id="10"/>
            <w:r>
              <w:rPr>
                <w:rFonts w:ascii="Calibri" w:eastAsia="Times New Roman" w:hAnsi="Calibri" w:cs="Times New Roman"/>
                <w:sz w:val="16"/>
                <w:szCs w:val="16"/>
              </w:rPr>
              <w:t>Comment</w:t>
            </w:r>
            <w:commentRangeEnd w:id="10"/>
            <w:r>
              <w:rPr>
                <w:rStyle w:val="CommentReference"/>
              </w:rPr>
              <w:commentReference w:id="10"/>
            </w:r>
          </w:p>
        </w:tc>
      </w:tr>
      <w:tr w:rsidR="0031350B" w:rsidRPr="007303D2" w:rsidTr="00C37046">
        <w:trPr>
          <w:trHeight w:val="810"/>
        </w:trPr>
        <w:tc>
          <w:tcPr>
            <w:tcW w:w="990" w:type="dxa"/>
            <w:tcBorders>
              <w:top w:val="nil"/>
              <w:left w:val="single" w:sz="4" w:space="0" w:color="auto"/>
              <w:bottom w:val="nil"/>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Chile</w:t>
            </w:r>
          </w:p>
        </w:tc>
        <w:tc>
          <w:tcPr>
            <w:tcW w:w="153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1998q1 – 1998q4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530" w:type="dxa"/>
            <w:tcBorders>
              <w:top w:val="nil"/>
              <w:left w:val="nil"/>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1999q1 – 1999q4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62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530" w:type="dxa"/>
            <w:tcBorders>
              <w:top w:val="nil"/>
              <w:left w:val="nil"/>
              <w:bottom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2000q2 – 2001q1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2007q1 – 2007q2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2009q1 – 2009q3</w:t>
            </w:r>
          </w:p>
        </w:tc>
        <w:tc>
          <w:tcPr>
            <w:tcW w:w="1440" w:type="dxa"/>
            <w:tcBorders>
              <w:top w:val="nil"/>
              <w:left w:val="single" w:sz="4" w:space="0" w:color="auto"/>
              <w:bottom w:val="nil"/>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440" w:type="dxa"/>
            <w:tcBorders>
              <w:top w:val="nil"/>
              <w:left w:val="nil"/>
              <w:bottom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2000q2 – 2000q4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2009q1 – 2009q3</w:t>
            </w:r>
          </w:p>
        </w:tc>
      </w:tr>
      <w:tr w:rsidR="0031350B" w:rsidRPr="007303D2" w:rsidTr="00C37046">
        <w:trPr>
          <w:trHeight w:val="810"/>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Colombia</w:t>
            </w:r>
          </w:p>
        </w:tc>
        <w:tc>
          <w:tcPr>
            <w:tcW w:w="153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2000q4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2010q4 – 2011q2</w:t>
            </w:r>
          </w:p>
        </w:tc>
        <w:tc>
          <w:tcPr>
            <w:tcW w:w="1530" w:type="dxa"/>
            <w:tcBorders>
              <w:top w:val="nil"/>
              <w:left w:val="nil"/>
              <w:bottom w:val="nil"/>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2015q2 – 2015q4</w:t>
            </w:r>
          </w:p>
        </w:tc>
        <w:tc>
          <w:tcPr>
            <w:tcW w:w="1620" w:type="dxa"/>
            <w:tcBorders>
              <w:top w:val="nil"/>
              <w:left w:val="single" w:sz="4" w:space="0" w:color="auto"/>
              <w:bottom w:val="nil"/>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tc>
        <w:tc>
          <w:tcPr>
            <w:tcW w:w="1530" w:type="dxa"/>
            <w:tcBorders>
              <w:top w:val="nil"/>
              <w:left w:val="nil"/>
              <w:bottom w:val="nil"/>
              <w:right w:val="single" w:sz="4" w:space="0" w:color="auto"/>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commentRangeStart w:id="11"/>
            <w:r>
              <w:rPr>
                <w:rFonts w:ascii="Calibri" w:eastAsia="Times New Roman" w:hAnsi="Calibri" w:cs="Times New Roman"/>
                <w:sz w:val="16"/>
                <w:szCs w:val="16"/>
              </w:rPr>
              <w:t>2008q2 – 2009q1</w:t>
            </w:r>
            <w:commentRangeEnd w:id="11"/>
            <w:r>
              <w:rPr>
                <w:rStyle w:val="CommentReference"/>
              </w:rPr>
              <w:commentReference w:id="11"/>
            </w:r>
          </w:p>
        </w:tc>
        <w:tc>
          <w:tcPr>
            <w:tcW w:w="1440" w:type="dxa"/>
            <w:tcBorders>
              <w:top w:val="nil"/>
              <w:left w:val="single" w:sz="4" w:space="0" w:color="auto"/>
              <w:bottom w:val="nil"/>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2010q4 – 2011q2</w:t>
            </w:r>
          </w:p>
        </w:tc>
        <w:tc>
          <w:tcPr>
            <w:tcW w:w="1440" w:type="dxa"/>
            <w:tcBorders>
              <w:top w:val="nil"/>
              <w:left w:val="nil"/>
              <w:bottom w:val="nil"/>
              <w:right w:val="single" w:sz="4" w:space="0" w:color="auto"/>
            </w:tcBorders>
            <w:shd w:val="clear" w:color="D8D8D8" w:fill="D8D8D8"/>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2015q2 – 2015q4</w:t>
            </w:r>
          </w:p>
        </w:tc>
      </w:tr>
      <w:tr w:rsidR="0031350B" w:rsidRPr="007303D2" w:rsidTr="00C37046">
        <w:trPr>
          <w:trHeight w:val="1053"/>
        </w:trPr>
        <w:tc>
          <w:tcPr>
            <w:tcW w:w="990" w:type="dxa"/>
            <w:tcBorders>
              <w:top w:val="nil"/>
              <w:left w:val="single" w:sz="4" w:space="0" w:color="auto"/>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Mexico</w:t>
            </w:r>
          </w:p>
        </w:tc>
        <w:tc>
          <w:tcPr>
            <w:tcW w:w="153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1990q1 – 1990q4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2001q3 – 2002q2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2010q1 – 2011q1</w:t>
            </w:r>
          </w:p>
        </w:tc>
        <w:tc>
          <w:tcPr>
            <w:tcW w:w="1530" w:type="dxa"/>
            <w:tcBorders>
              <w:top w:val="nil"/>
              <w:left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1994q4 – 1995q3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62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1989q2 – 1991q2</w:t>
            </w:r>
          </w:p>
          <w:p w:rsidR="0031350B" w:rsidRDefault="0031350B" w:rsidP="00C37046">
            <w:pPr>
              <w:spacing w:after="0" w:line="240" w:lineRule="auto"/>
              <w:rPr>
                <w:rFonts w:ascii="Calibri" w:eastAsia="Times New Roman" w:hAnsi="Calibri" w:cs="Times New Roman"/>
                <w:sz w:val="16"/>
                <w:szCs w:val="16"/>
              </w:rPr>
            </w:pPr>
            <w:commentRangeStart w:id="12"/>
            <w:r>
              <w:rPr>
                <w:rFonts w:ascii="Calibri" w:eastAsia="Times New Roman" w:hAnsi="Calibri" w:cs="Times New Roman"/>
                <w:sz w:val="16"/>
                <w:szCs w:val="16"/>
              </w:rPr>
              <w:t>2004q4 – 2005q2</w:t>
            </w:r>
            <w:commentRangeEnd w:id="12"/>
            <w:r>
              <w:rPr>
                <w:rStyle w:val="CommentReference"/>
              </w:rPr>
              <w:commentReference w:id="12"/>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2008q2</w:t>
            </w:r>
          </w:p>
        </w:tc>
        <w:tc>
          <w:tcPr>
            <w:tcW w:w="1530" w:type="dxa"/>
            <w:tcBorders>
              <w:top w:val="nil"/>
              <w:left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1994q4 – 1995q4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440" w:type="dxa"/>
            <w:tcBorders>
              <w:top w:val="nil"/>
              <w:left w:val="single" w:sz="4" w:space="0" w:color="auto"/>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1989q2 – 1990q4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2001q3 – 2002q2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2010q1 – 2011q1</w:t>
            </w:r>
          </w:p>
        </w:tc>
        <w:tc>
          <w:tcPr>
            <w:tcW w:w="1440" w:type="dxa"/>
            <w:tcBorders>
              <w:top w:val="nil"/>
              <w:left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1994q4 – 1995q3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r>
      <w:tr w:rsidR="0031350B" w:rsidRPr="007303D2" w:rsidTr="00C37046">
        <w:trPr>
          <w:trHeight w:val="990"/>
        </w:trPr>
        <w:tc>
          <w:tcPr>
            <w:tcW w:w="990" w:type="dxa"/>
            <w:tcBorders>
              <w:top w:val="nil"/>
              <w:left w:val="single" w:sz="4" w:space="0" w:color="auto"/>
              <w:bottom w:val="single" w:sz="4" w:space="0" w:color="auto"/>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Peru</w:t>
            </w:r>
          </w:p>
        </w:tc>
        <w:tc>
          <w:tcPr>
            <w:tcW w:w="1530" w:type="dxa"/>
            <w:tcBorders>
              <w:top w:val="nil"/>
              <w:left w:val="single" w:sz="4" w:space="0" w:color="auto"/>
              <w:bottom w:val="single" w:sz="4" w:space="0" w:color="auto"/>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2007q1 – 2008q1</w:t>
            </w:r>
          </w:p>
        </w:tc>
        <w:tc>
          <w:tcPr>
            <w:tcW w:w="1530" w:type="dxa"/>
            <w:tcBorders>
              <w:top w:val="nil"/>
              <w:left w:val="nil"/>
              <w:bottom w:val="single" w:sz="4" w:space="0" w:color="auto"/>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1998q4 – 1999q3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620" w:type="dxa"/>
            <w:tcBorders>
              <w:top w:val="nil"/>
              <w:left w:val="single" w:sz="4" w:space="0" w:color="auto"/>
              <w:bottom w:val="single" w:sz="4" w:space="0" w:color="auto"/>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2006q4 – 2008q2</w:t>
            </w:r>
          </w:p>
        </w:tc>
        <w:tc>
          <w:tcPr>
            <w:tcW w:w="1530" w:type="dxa"/>
            <w:tcBorders>
              <w:top w:val="nil"/>
              <w:left w:val="nil"/>
              <w:bottom w:val="single" w:sz="4" w:space="0" w:color="auto"/>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1998q1 – 1998q2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1998q4 – 1999q3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440" w:type="dxa"/>
            <w:tcBorders>
              <w:top w:val="nil"/>
              <w:left w:val="single" w:sz="4" w:space="0" w:color="auto"/>
              <w:bottom w:val="single" w:sz="4" w:space="0" w:color="auto"/>
              <w:right w:val="nil"/>
            </w:tcBorders>
            <w:shd w:val="clear" w:color="D8D8D8" w:fill="D8D8D8"/>
          </w:tcPr>
          <w:p w:rsidR="0031350B" w:rsidRPr="007303D2" w:rsidRDefault="0031350B" w:rsidP="00C37046">
            <w:pPr>
              <w:rPr>
                <w:rFonts w:ascii="Calibri" w:eastAsia="Times New Roman" w:hAnsi="Calibri" w:cs="Times New Roman"/>
                <w:sz w:val="16"/>
                <w:szCs w:val="16"/>
              </w:rPr>
            </w:pPr>
            <w:r>
              <w:rPr>
                <w:rFonts w:ascii="Calibri" w:eastAsia="Times New Roman" w:hAnsi="Calibri" w:cs="Times New Roman"/>
                <w:sz w:val="16"/>
                <w:szCs w:val="16"/>
              </w:rPr>
              <w:t>2006q4 – 2008q2</w:t>
            </w:r>
          </w:p>
        </w:tc>
        <w:tc>
          <w:tcPr>
            <w:tcW w:w="1440" w:type="dxa"/>
            <w:tcBorders>
              <w:top w:val="nil"/>
              <w:left w:val="nil"/>
              <w:bottom w:val="single" w:sz="4" w:space="0" w:color="auto"/>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1998q4 – 1999q3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r>
    </w:tbl>
    <w:p w:rsidR="0031350B" w:rsidRDefault="0031350B" w:rsidP="008A2EB7">
      <w:pPr>
        <w:rPr>
          <w:color w:val="000000" w:themeColor="text1"/>
        </w:rPr>
      </w:pPr>
    </w:p>
    <w:p w:rsidR="0031350B" w:rsidRPr="0031350B" w:rsidRDefault="0031350B" w:rsidP="0031350B">
      <w:pPr>
        <w:rPr>
          <w:color w:val="000000" w:themeColor="text1"/>
        </w:rPr>
      </w:pPr>
      <w:r>
        <w:rPr>
          <w:b/>
          <w:color w:val="000000" w:themeColor="text1"/>
        </w:rPr>
        <w:t>Table 2b</w:t>
      </w:r>
      <w:r>
        <w:rPr>
          <w:color w:val="000000" w:themeColor="text1"/>
        </w:rPr>
        <w:t xml:space="preserve"> Comparison calculations extreme episodes in gross inflows</w:t>
      </w:r>
    </w:p>
    <w:tbl>
      <w:tblPr>
        <w:tblW w:w="10080" w:type="dxa"/>
        <w:tblInd w:w="108" w:type="dxa"/>
        <w:tblLayout w:type="fixed"/>
        <w:tblLook w:val="04A0"/>
      </w:tblPr>
      <w:tblGrid>
        <w:gridCol w:w="990"/>
        <w:gridCol w:w="1530"/>
        <w:gridCol w:w="1530"/>
        <w:gridCol w:w="1620"/>
        <w:gridCol w:w="1530"/>
        <w:gridCol w:w="1440"/>
        <w:gridCol w:w="1440"/>
      </w:tblGrid>
      <w:tr w:rsidR="0031350B" w:rsidRPr="00337D8F" w:rsidTr="00C37046">
        <w:trPr>
          <w:trHeight w:val="773"/>
        </w:trPr>
        <w:tc>
          <w:tcPr>
            <w:tcW w:w="99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rPr>
                <w:rFonts w:ascii="Calibri" w:eastAsia="Times New Roman" w:hAnsi="Calibri" w:cs="Times New Roman"/>
                <w:b/>
                <w:bCs/>
                <w:color w:val="000000"/>
                <w:sz w:val="16"/>
                <w:szCs w:val="16"/>
              </w:rPr>
            </w:pPr>
            <w:r w:rsidRPr="00337D8F">
              <w:rPr>
                <w:rFonts w:ascii="Calibri" w:eastAsia="Times New Roman" w:hAnsi="Calibri" w:cs="Times New Roman"/>
                <w:b/>
                <w:bCs/>
                <w:color w:val="000000"/>
                <w:sz w:val="16"/>
                <w:szCs w:val="16"/>
              </w:rPr>
              <w:t>Country</w:t>
            </w:r>
          </w:p>
        </w:tc>
        <w:tc>
          <w:tcPr>
            <w:tcW w:w="153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3" type="#_x0000_t202" style="position:absolute;left:0;text-align:left;margin-left:26.05pt;margin-top:-23.55pt;width:84.5pt;height:19.35pt;z-index:251669504;mso-position-horizontal-relative:text;mso-position-vertical-relative:text">
                  <v:textbox style="mso-next-textbox:#_x0000_s1033">
                    <w:txbxContent>
                      <w:p w:rsidR="0031350B" w:rsidRPr="00ED7AB8" w:rsidRDefault="0031350B" w:rsidP="0031350B">
                        <w:pPr>
                          <w:rPr>
                            <w:b/>
                            <w:sz w:val="20"/>
                            <w:szCs w:val="20"/>
                          </w:rPr>
                        </w:pPr>
                        <w:r>
                          <w:rPr>
                            <w:b/>
                            <w:sz w:val="20"/>
                            <w:szCs w:val="20"/>
                          </w:rPr>
                          <w:t>A) ECLAC Data</w:t>
                        </w:r>
                      </w:p>
                    </w:txbxContent>
                  </v:textbox>
                </v:shape>
              </w:pict>
            </w:r>
            <w:r>
              <w:rPr>
                <w:rFonts w:ascii="Calibri" w:eastAsia="Times New Roman" w:hAnsi="Calibri" w:cs="Times New Roman"/>
                <w:b/>
                <w:bCs/>
                <w:color w:val="000000"/>
                <w:sz w:val="16"/>
                <w:szCs w:val="16"/>
              </w:rPr>
              <w:t>Flight</w:t>
            </w:r>
          </w:p>
        </w:tc>
        <w:tc>
          <w:tcPr>
            <w:tcW w:w="1530" w:type="dxa"/>
            <w:tcBorders>
              <w:top w:val="single" w:sz="4" w:space="0" w:color="000000"/>
              <w:left w:val="nil"/>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Retrenchment</w:t>
            </w:r>
          </w:p>
        </w:tc>
        <w:tc>
          <w:tcPr>
            <w:tcW w:w="1620" w:type="dxa"/>
            <w:tcBorders>
              <w:top w:val="single" w:sz="4" w:space="0" w:color="000000"/>
              <w:left w:val="single" w:sz="4" w:space="0" w:color="auto"/>
              <w:bottom w:val="single" w:sz="4" w:space="0" w:color="000000"/>
              <w:right w:val="nil"/>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4" type="#_x0000_t202" style="position:absolute;left:0;text-align:left;margin-left:25.75pt;margin-top:-23.45pt;width:108.45pt;height:19.35pt;z-index:251670528;mso-position-horizontal-relative:text;mso-position-vertical-relative:text">
                  <v:textbox style="mso-next-textbox:#_x0000_s1034">
                    <w:txbxContent>
                      <w:p w:rsidR="0031350B" w:rsidRPr="0066549E" w:rsidRDefault="0031350B" w:rsidP="0031350B">
                        <w:pPr>
                          <w:rPr>
                            <w:b/>
                            <w:sz w:val="16"/>
                            <w:szCs w:val="16"/>
                          </w:rPr>
                        </w:pPr>
                        <w:r w:rsidRPr="0066549E">
                          <w:rPr>
                            <w:b/>
                            <w:sz w:val="16"/>
                            <w:szCs w:val="16"/>
                          </w:rPr>
                          <w:t xml:space="preserve">A) </w:t>
                        </w:r>
                        <w:r>
                          <w:rPr>
                            <w:b/>
                            <w:sz w:val="16"/>
                            <w:szCs w:val="16"/>
                          </w:rPr>
                          <w:t>Forbes and Wa</w:t>
                        </w:r>
                        <w:r w:rsidRPr="0066549E">
                          <w:rPr>
                            <w:b/>
                            <w:sz w:val="16"/>
                            <w:szCs w:val="16"/>
                          </w:rPr>
                          <w:t>rnock</w:t>
                        </w:r>
                      </w:p>
                    </w:txbxContent>
                  </v:textbox>
                </v:shape>
              </w:pict>
            </w:r>
            <w:r>
              <w:rPr>
                <w:rFonts w:ascii="Calibri" w:eastAsia="Times New Roman" w:hAnsi="Calibri" w:cs="Times New Roman"/>
                <w:b/>
                <w:bCs/>
                <w:color w:val="000000"/>
                <w:sz w:val="16"/>
                <w:szCs w:val="16"/>
              </w:rPr>
              <w:t>Flight</w:t>
            </w:r>
          </w:p>
        </w:tc>
        <w:tc>
          <w:tcPr>
            <w:tcW w:w="1530" w:type="dxa"/>
            <w:tcBorders>
              <w:top w:val="single" w:sz="4" w:space="0" w:color="000000"/>
              <w:left w:val="nil"/>
              <w:bottom w:val="single" w:sz="4" w:space="0" w:color="000000"/>
              <w:right w:val="single" w:sz="4" w:space="0" w:color="auto"/>
            </w:tcBorders>
            <w:shd w:val="clear" w:color="auto" w:fill="auto"/>
            <w:vAlign w:val="bottom"/>
            <w:hideMark/>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Retrenchment</w:t>
            </w:r>
          </w:p>
        </w:tc>
        <w:tc>
          <w:tcPr>
            <w:tcW w:w="1440" w:type="dxa"/>
            <w:tcBorders>
              <w:top w:val="single" w:sz="4" w:space="0" w:color="000000"/>
              <w:left w:val="single" w:sz="4" w:space="0" w:color="auto"/>
              <w:bottom w:val="single" w:sz="4" w:space="0" w:color="000000"/>
              <w:right w:val="nil"/>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noProof/>
                <w:color w:val="000000"/>
                <w:sz w:val="16"/>
                <w:szCs w:val="16"/>
              </w:rPr>
              <w:pict>
                <v:shape id="_x0000_s1035" type="#_x0000_t202" style="position:absolute;left:0;text-align:left;margin-left:26.05pt;margin-top:-23.55pt;width:84.5pt;height:19.35pt;z-index:251671552;mso-position-horizontal-relative:text;mso-position-vertical-relative:text">
                  <v:textbox style="mso-next-textbox:#_x0000_s1035">
                    <w:txbxContent>
                      <w:p w:rsidR="0031350B" w:rsidRPr="00ED7AB8" w:rsidRDefault="0031350B" w:rsidP="0031350B">
                        <w:pPr>
                          <w:rPr>
                            <w:b/>
                            <w:sz w:val="20"/>
                            <w:szCs w:val="20"/>
                          </w:rPr>
                        </w:pPr>
                        <w:r>
                          <w:rPr>
                            <w:b/>
                            <w:sz w:val="20"/>
                            <w:szCs w:val="20"/>
                          </w:rPr>
                          <w:t>A) IMF data</w:t>
                        </w:r>
                      </w:p>
                    </w:txbxContent>
                  </v:textbox>
                </v:shape>
              </w:pict>
            </w:r>
            <w:r>
              <w:rPr>
                <w:rFonts w:ascii="Calibri" w:eastAsia="Times New Roman" w:hAnsi="Calibri" w:cs="Times New Roman"/>
                <w:b/>
                <w:bCs/>
                <w:color w:val="000000"/>
                <w:sz w:val="16"/>
                <w:szCs w:val="16"/>
              </w:rPr>
              <w:t>Flight</w:t>
            </w:r>
          </w:p>
        </w:tc>
        <w:tc>
          <w:tcPr>
            <w:tcW w:w="1440" w:type="dxa"/>
            <w:tcBorders>
              <w:top w:val="single" w:sz="4" w:space="0" w:color="000000"/>
              <w:left w:val="nil"/>
              <w:bottom w:val="single" w:sz="4" w:space="0" w:color="000000"/>
              <w:right w:val="single" w:sz="4" w:space="0" w:color="auto"/>
            </w:tcBorders>
            <w:vAlign w:val="bottom"/>
          </w:tcPr>
          <w:p w:rsidR="0031350B" w:rsidRPr="00337D8F" w:rsidRDefault="0031350B" w:rsidP="00C37046">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Retrenchment</w:t>
            </w:r>
          </w:p>
        </w:tc>
      </w:tr>
      <w:tr w:rsidR="0031350B" w:rsidRPr="007303D2" w:rsidTr="00C37046">
        <w:trPr>
          <w:trHeight w:val="1448"/>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Brazil</w:t>
            </w:r>
            <w:r>
              <w:rPr>
                <w:rFonts w:ascii="Calibri" w:eastAsia="Times New Roman" w:hAnsi="Calibri" w:cs="Times New Roman"/>
                <w:i/>
                <w:iCs/>
                <w:color w:val="000000"/>
                <w:sz w:val="16"/>
                <w:szCs w:val="16"/>
              </w:rPr>
              <w:t xml:space="preserve"> </w:t>
            </w:r>
          </w:p>
        </w:tc>
        <w:tc>
          <w:tcPr>
            <w:tcW w:w="153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1987q3 – 1988q1</w:t>
            </w:r>
          </w:p>
          <w:p w:rsidR="0031350B" w:rsidRDefault="0031350B" w:rsidP="00C37046">
            <w:pPr>
              <w:spacing w:after="0" w:line="240" w:lineRule="auto"/>
              <w:rPr>
                <w:rFonts w:ascii="Calibri" w:eastAsia="Times New Roman" w:hAnsi="Calibri" w:cs="Times New Roman"/>
                <w:sz w:val="16"/>
                <w:szCs w:val="16"/>
              </w:rPr>
            </w:pPr>
            <w:commentRangeStart w:id="13"/>
            <w:r>
              <w:rPr>
                <w:rFonts w:ascii="Calibri" w:eastAsia="Times New Roman" w:hAnsi="Calibri" w:cs="Times New Roman"/>
                <w:sz w:val="16"/>
                <w:szCs w:val="16"/>
              </w:rPr>
              <w:t>1989q3 – 1990q1</w:t>
            </w:r>
            <w:commentRangeEnd w:id="13"/>
            <w:r>
              <w:rPr>
                <w:rStyle w:val="CommentReference"/>
              </w:rPr>
              <w:commentReference w:id="13"/>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2006q4 – 2007q3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2010q3 – 2011q2</w:t>
            </w:r>
          </w:p>
        </w:tc>
        <w:tc>
          <w:tcPr>
            <w:tcW w:w="1530" w:type="dxa"/>
            <w:tcBorders>
              <w:top w:val="nil"/>
              <w:left w:val="nil"/>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1988q3 – 1989q1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1992q1 – 1992q4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1997q4 – 1998q2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2008q2 – 2008q3</w:t>
            </w:r>
          </w:p>
        </w:tc>
        <w:tc>
          <w:tcPr>
            <w:tcW w:w="162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commentRangeStart w:id="14"/>
            <w:r>
              <w:rPr>
                <w:rFonts w:ascii="Calibri" w:eastAsia="Times New Roman" w:hAnsi="Calibri" w:cs="Times New Roman"/>
                <w:sz w:val="16"/>
                <w:szCs w:val="16"/>
              </w:rPr>
              <w:t>1994q2 – 1994q4</w:t>
            </w:r>
            <w:commentRangeEnd w:id="14"/>
            <w:r>
              <w:rPr>
                <w:rStyle w:val="CommentReference"/>
              </w:rPr>
              <w:commentReference w:id="14"/>
            </w:r>
          </w:p>
          <w:p w:rsidR="0031350B" w:rsidRDefault="0031350B" w:rsidP="00C37046">
            <w:pPr>
              <w:spacing w:after="0" w:line="240" w:lineRule="auto"/>
              <w:rPr>
                <w:rFonts w:ascii="Calibri" w:eastAsia="Times New Roman" w:hAnsi="Calibri" w:cs="Times New Roman"/>
                <w:sz w:val="16"/>
                <w:szCs w:val="16"/>
              </w:rPr>
            </w:pPr>
            <w:commentRangeStart w:id="15"/>
            <w:r>
              <w:rPr>
                <w:rFonts w:ascii="Calibri" w:eastAsia="Times New Roman" w:hAnsi="Calibri" w:cs="Times New Roman"/>
                <w:sz w:val="16"/>
                <w:szCs w:val="16"/>
              </w:rPr>
              <w:t>1998q3 – 1999q2</w:t>
            </w:r>
            <w:commentRangeEnd w:id="15"/>
            <w:r>
              <w:rPr>
                <w:rStyle w:val="CommentReference"/>
              </w:rPr>
              <w:commentReference w:id="15"/>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2006q4 – 2007q3</w:t>
            </w:r>
          </w:p>
        </w:tc>
        <w:tc>
          <w:tcPr>
            <w:tcW w:w="1530" w:type="dxa"/>
            <w:tcBorders>
              <w:top w:val="nil"/>
              <w:left w:val="nil"/>
              <w:bottom w:val="nil"/>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1992q1 – 1992q4</w:t>
            </w:r>
          </w:p>
          <w:p w:rsidR="0031350B" w:rsidRDefault="0031350B" w:rsidP="00C37046">
            <w:pPr>
              <w:spacing w:after="0" w:line="240" w:lineRule="auto"/>
              <w:rPr>
                <w:rFonts w:ascii="Calibri" w:eastAsia="Times New Roman" w:hAnsi="Calibri" w:cs="Times New Roman"/>
                <w:sz w:val="16"/>
                <w:szCs w:val="16"/>
              </w:rPr>
            </w:pPr>
            <w:commentRangeStart w:id="16"/>
            <w:r>
              <w:rPr>
                <w:rFonts w:ascii="Calibri" w:eastAsia="Times New Roman" w:hAnsi="Calibri" w:cs="Times New Roman"/>
                <w:sz w:val="16"/>
                <w:szCs w:val="16"/>
              </w:rPr>
              <w:t>1995q2 – 1996q1</w:t>
            </w:r>
            <w:commentRangeEnd w:id="16"/>
            <w:r>
              <w:rPr>
                <w:rStyle w:val="CommentReference"/>
              </w:rPr>
              <w:commentReference w:id="16"/>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1997q4 – 1998q2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2008q2 – 2008q3</w:t>
            </w:r>
          </w:p>
        </w:tc>
        <w:tc>
          <w:tcPr>
            <w:tcW w:w="1440" w:type="dxa"/>
            <w:tcBorders>
              <w:top w:val="nil"/>
              <w:left w:val="single" w:sz="4" w:space="0" w:color="auto"/>
              <w:bottom w:val="nil"/>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1994q2 – 1994q4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1998q3 – 1999q2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2006q4 – 2007q3</w:t>
            </w:r>
          </w:p>
        </w:tc>
        <w:tc>
          <w:tcPr>
            <w:tcW w:w="1440" w:type="dxa"/>
            <w:tcBorders>
              <w:top w:val="nil"/>
              <w:left w:val="nil"/>
              <w:bottom w:val="nil"/>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1992q1 – 1992q4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1997q4 – 1998q2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2008q2 – 2008q3</w:t>
            </w:r>
          </w:p>
        </w:tc>
      </w:tr>
      <w:tr w:rsidR="0031350B" w:rsidRPr="007303D2" w:rsidTr="00C37046">
        <w:trPr>
          <w:trHeight w:val="810"/>
        </w:trPr>
        <w:tc>
          <w:tcPr>
            <w:tcW w:w="990" w:type="dxa"/>
            <w:tcBorders>
              <w:top w:val="nil"/>
              <w:left w:val="single" w:sz="4" w:space="0" w:color="auto"/>
              <w:bottom w:val="nil"/>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Chile</w:t>
            </w:r>
          </w:p>
        </w:tc>
        <w:tc>
          <w:tcPr>
            <w:tcW w:w="153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1997q3 – 1998q4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2007q2 – 2008q1</w:t>
            </w:r>
          </w:p>
        </w:tc>
        <w:tc>
          <w:tcPr>
            <w:tcW w:w="1530" w:type="dxa"/>
            <w:tcBorders>
              <w:top w:val="nil"/>
              <w:left w:val="nil"/>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1999q2 – 1999q4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2009q3</w:t>
            </w:r>
          </w:p>
        </w:tc>
        <w:tc>
          <w:tcPr>
            <w:tcW w:w="1620" w:type="dxa"/>
            <w:tcBorders>
              <w:top w:val="nil"/>
              <w:left w:val="single" w:sz="4" w:space="0" w:color="auto"/>
              <w:bottom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1998q2 – 1999q4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2007q2 – 2008q1</w:t>
            </w:r>
          </w:p>
        </w:tc>
        <w:tc>
          <w:tcPr>
            <w:tcW w:w="1530" w:type="dxa"/>
            <w:tcBorders>
              <w:top w:val="nil"/>
              <w:left w:val="nil"/>
              <w:bottom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1997q2 – 1997q3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2000q2 – 2000q4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2009q3</w:t>
            </w:r>
          </w:p>
        </w:tc>
        <w:tc>
          <w:tcPr>
            <w:tcW w:w="1440" w:type="dxa"/>
            <w:tcBorders>
              <w:top w:val="nil"/>
              <w:left w:val="single" w:sz="4" w:space="0" w:color="auto"/>
              <w:bottom w:val="nil"/>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1998q2 – 1999q4</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2006q1 – 2006q4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2008q1</w:t>
            </w:r>
          </w:p>
        </w:tc>
        <w:tc>
          <w:tcPr>
            <w:tcW w:w="1440" w:type="dxa"/>
            <w:tcBorders>
              <w:top w:val="nil"/>
              <w:left w:val="nil"/>
              <w:bottom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2000q2 – 2000q4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2009q3</w:t>
            </w:r>
          </w:p>
        </w:tc>
      </w:tr>
      <w:tr w:rsidR="0031350B" w:rsidRPr="007303D2" w:rsidTr="00C37046">
        <w:trPr>
          <w:trHeight w:val="810"/>
        </w:trPr>
        <w:tc>
          <w:tcPr>
            <w:tcW w:w="990" w:type="dxa"/>
            <w:tcBorders>
              <w:top w:val="nil"/>
              <w:left w:val="single" w:sz="4" w:space="0" w:color="auto"/>
              <w:bottom w:val="nil"/>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lastRenderedPageBreak/>
              <w:t>Colombia</w:t>
            </w:r>
          </w:p>
        </w:tc>
        <w:tc>
          <w:tcPr>
            <w:tcW w:w="1530" w:type="dxa"/>
            <w:tcBorders>
              <w:top w:val="nil"/>
              <w:left w:val="single" w:sz="4" w:space="0" w:color="auto"/>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1999q3 – 2000q1 </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tc>
        <w:tc>
          <w:tcPr>
            <w:tcW w:w="1530" w:type="dxa"/>
            <w:tcBorders>
              <w:top w:val="nil"/>
              <w:left w:val="nil"/>
              <w:bottom w:val="nil"/>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2000q3 – 2001q1</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2012q3 – 2013q1</w:t>
            </w:r>
          </w:p>
        </w:tc>
        <w:tc>
          <w:tcPr>
            <w:tcW w:w="1620" w:type="dxa"/>
            <w:tcBorders>
              <w:top w:val="nil"/>
              <w:left w:val="single" w:sz="4" w:space="0" w:color="auto"/>
              <w:bottom w:val="nil"/>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2006q2 – 2006q3</w:t>
            </w:r>
          </w:p>
        </w:tc>
        <w:tc>
          <w:tcPr>
            <w:tcW w:w="1530" w:type="dxa"/>
            <w:tcBorders>
              <w:top w:val="nil"/>
              <w:left w:val="nil"/>
              <w:bottom w:val="nil"/>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2002q2 – 2003q1</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2007q2 – 2007q3</w:t>
            </w:r>
          </w:p>
        </w:tc>
        <w:tc>
          <w:tcPr>
            <w:tcW w:w="1440" w:type="dxa"/>
            <w:tcBorders>
              <w:top w:val="nil"/>
              <w:left w:val="single" w:sz="4" w:space="0" w:color="auto"/>
              <w:bottom w:val="nil"/>
              <w:right w:val="nil"/>
            </w:tcBorders>
            <w:shd w:val="clear" w:color="D8D8D8" w:fill="D8D8D8"/>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2006q2 – 2006q3</w:t>
            </w:r>
          </w:p>
        </w:tc>
        <w:tc>
          <w:tcPr>
            <w:tcW w:w="1440" w:type="dxa"/>
            <w:tcBorders>
              <w:top w:val="nil"/>
              <w:left w:val="nil"/>
              <w:bottom w:val="nil"/>
              <w:right w:val="single" w:sz="4" w:space="0" w:color="auto"/>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2002q2 – 2003q1</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2012q3 – 2013q1</w:t>
            </w:r>
          </w:p>
        </w:tc>
      </w:tr>
      <w:tr w:rsidR="0031350B" w:rsidRPr="007303D2" w:rsidTr="00C37046">
        <w:trPr>
          <w:trHeight w:val="1170"/>
        </w:trPr>
        <w:tc>
          <w:tcPr>
            <w:tcW w:w="990" w:type="dxa"/>
            <w:tcBorders>
              <w:top w:val="nil"/>
              <w:left w:val="single" w:sz="4" w:space="0" w:color="auto"/>
              <w:right w:val="nil"/>
            </w:tcBorders>
            <w:shd w:val="clear" w:color="auto" w:fill="auto"/>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Mexico</w:t>
            </w:r>
          </w:p>
        </w:tc>
        <w:tc>
          <w:tcPr>
            <w:tcW w:w="153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2004q3 – 2005q2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2007q4</w:t>
            </w:r>
          </w:p>
          <w:p w:rsidR="0031350B" w:rsidRPr="007303D2" w:rsidRDefault="0031350B" w:rsidP="00C37046">
            <w:pPr>
              <w:spacing w:after="0" w:line="240" w:lineRule="auto"/>
              <w:rPr>
                <w:rFonts w:ascii="Calibri" w:eastAsia="Times New Roman" w:hAnsi="Calibri" w:cs="Times New Roman"/>
                <w:sz w:val="16"/>
                <w:szCs w:val="16"/>
              </w:rPr>
            </w:pPr>
          </w:p>
        </w:tc>
        <w:tc>
          <w:tcPr>
            <w:tcW w:w="1530" w:type="dxa"/>
            <w:tcBorders>
              <w:top w:val="nil"/>
              <w:left w:val="nil"/>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1992q2 – 1992q3</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2009q2</w:t>
            </w:r>
          </w:p>
        </w:tc>
        <w:tc>
          <w:tcPr>
            <w:tcW w:w="1620" w:type="dxa"/>
            <w:tcBorders>
              <w:top w:val="nil"/>
              <w:left w:val="single" w:sz="4" w:space="0" w:color="auto"/>
              <w:right w:val="nil"/>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commentRangeStart w:id="17"/>
            <w:r>
              <w:rPr>
                <w:rFonts w:ascii="Calibri" w:eastAsia="Times New Roman" w:hAnsi="Calibri" w:cs="Times New Roman"/>
                <w:sz w:val="16"/>
                <w:szCs w:val="16"/>
              </w:rPr>
              <w:t>1990q1 – 1990q4</w:t>
            </w:r>
            <w:commentRangeEnd w:id="17"/>
            <w:r>
              <w:rPr>
                <w:rStyle w:val="CommentReference"/>
              </w:rPr>
              <w:commentReference w:id="17"/>
            </w:r>
          </w:p>
          <w:p w:rsidR="0031350B" w:rsidRDefault="0031350B" w:rsidP="00C37046">
            <w:pPr>
              <w:spacing w:after="0" w:line="240" w:lineRule="auto"/>
              <w:rPr>
                <w:rFonts w:ascii="Calibri" w:eastAsia="Times New Roman" w:hAnsi="Calibri" w:cs="Times New Roman"/>
                <w:sz w:val="16"/>
                <w:szCs w:val="16"/>
              </w:rPr>
            </w:pPr>
            <w:commentRangeStart w:id="18"/>
            <w:r>
              <w:rPr>
                <w:rFonts w:ascii="Calibri" w:eastAsia="Times New Roman" w:hAnsi="Calibri" w:cs="Times New Roman"/>
                <w:sz w:val="16"/>
                <w:szCs w:val="16"/>
              </w:rPr>
              <w:t>1993q2 – 1994q1</w:t>
            </w:r>
            <w:commentRangeEnd w:id="18"/>
            <w:r>
              <w:rPr>
                <w:rStyle w:val="CommentReference"/>
              </w:rPr>
              <w:commentReference w:id="18"/>
            </w:r>
          </w:p>
          <w:p w:rsidR="0031350B" w:rsidRPr="007303D2" w:rsidRDefault="0031350B" w:rsidP="00C37046">
            <w:pPr>
              <w:spacing w:after="0" w:line="240" w:lineRule="auto"/>
              <w:rPr>
                <w:rFonts w:ascii="Calibri" w:eastAsia="Times New Roman" w:hAnsi="Calibri" w:cs="Times New Roman"/>
                <w:sz w:val="16"/>
                <w:szCs w:val="16"/>
              </w:rPr>
            </w:pPr>
            <w:commentRangeStart w:id="19"/>
            <w:r>
              <w:rPr>
                <w:rFonts w:ascii="Calibri" w:eastAsia="Times New Roman" w:hAnsi="Calibri" w:cs="Times New Roman"/>
                <w:sz w:val="16"/>
                <w:szCs w:val="16"/>
              </w:rPr>
              <w:t>2001q3 – 2002q2</w:t>
            </w:r>
            <w:commentRangeEnd w:id="19"/>
            <w:r>
              <w:rPr>
                <w:rStyle w:val="CommentReference"/>
              </w:rPr>
              <w:commentReference w:id="19"/>
            </w:r>
          </w:p>
        </w:tc>
        <w:tc>
          <w:tcPr>
            <w:tcW w:w="1530" w:type="dxa"/>
            <w:tcBorders>
              <w:top w:val="nil"/>
              <w:left w:val="nil"/>
              <w:right w:val="single" w:sz="4" w:space="0" w:color="auto"/>
            </w:tcBorders>
            <w:shd w:val="clear" w:color="auto" w:fill="auto"/>
            <w:hideMark/>
          </w:tcPr>
          <w:p w:rsidR="0031350B" w:rsidRDefault="0031350B" w:rsidP="00C37046">
            <w:pPr>
              <w:spacing w:after="0" w:line="240" w:lineRule="auto"/>
              <w:rPr>
                <w:rFonts w:ascii="Calibri" w:eastAsia="Times New Roman" w:hAnsi="Calibri" w:cs="Times New Roman"/>
                <w:sz w:val="16"/>
                <w:szCs w:val="16"/>
              </w:rPr>
            </w:pPr>
            <w:commentRangeStart w:id="20"/>
            <w:r>
              <w:rPr>
                <w:rFonts w:ascii="Calibri" w:eastAsia="Times New Roman" w:hAnsi="Calibri" w:cs="Times New Roman"/>
                <w:sz w:val="16"/>
                <w:szCs w:val="16"/>
              </w:rPr>
              <w:t>1991q3 – 1991q4</w:t>
            </w:r>
            <w:commentRangeEnd w:id="20"/>
            <w:r>
              <w:rPr>
                <w:rStyle w:val="CommentReference"/>
              </w:rPr>
              <w:commentReference w:id="20"/>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1992q2 – 1993q1</w:t>
            </w:r>
          </w:p>
          <w:p w:rsidR="0031350B" w:rsidRDefault="0031350B" w:rsidP="00C37046">
            <w:pPr>
              <w:spacing w:after="0" w:line="240" w:lineRule="auto"/>
              <w:rPr>
                <w:rFonts w:ascii="Calibri" w:eastAsia="Times New Roman" w:hAnsi="Calibri" w:cs="Times New Roman"/>
                <w:sz w:val="16"/>
                <w:szCs w:val="16"/>
              </w:rPr>
            </w:pPr>
            <w:commentRangeStart w:id="21"/>
            <w:r>
              <w:rPr>
                <w:rFonts w:ascii="Calibri" w:eastAsia="Times New Roman" w:hAnsi="Calibri" w:cs="Times New Roman"/>
                <w:sz w:val="16"/>
                <w:szCs w:val="16"/>
              </w:rPr>
              <w:t>1997q3 – 1997q4</w:t>
            </w:r>
            <w:commentRangeEnd w:id="21"/>
            <w:r>
              <w:rPr>
                <w:rStyle w:val="CommentReference"/>
              </w:rPr>
              <w:commentReference w:id="21"/>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2008q4 – 2009q3</w:t>
            </w:r>
          </w:p>
        </w:tc>
        <w:tc>
          <w:tcPr>
            <w:tcW w:w="1440" w:type="dxa"/>
            <w:tcBorders>
              <w:top w:val="nil"/>
              <w:left w:val="single" w:sz="4" w:space="0" w:color="auto"/>
              <w:right w:val="nil"/>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2004q3 – 2005q2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2007q3 – 2007q4</w:t>
            </w:r>
          </w:p>
          <w:p w:rsidR="0031350B" w:rsidRPr="007303D2" w:rsidRDefault="0031350B" w:rsidP="00C37046">
            <w:pPr>
              <w:spacing w:after="0" w:line="240" w:lineRule="auto"/>
              <w:rPr>
                <w:rFonts w:ascii="Calibri" w:eastAsia="Times New Roman" w:hAnsi="Calibri" w:cs="Times New Roman"/>
                <w:sz w:val="16"/>
                <w:szCs w:val="16"/>
              </w:rPr>
            </w:pPr>
          </w:p>
        </w:tc>
        <w:tc>
          <w:tcPr>
            <w:tcW w:w="1440" w:type="dxa"/>
            <w:tcBorders>
              <w:top w:val="nil"/>
              <w:left w:val="nil"/>
              <w:right w:val="single" w:sz="4" w:space="0" w:color="auto"/>
            </w:tcBorders>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1992q2 – 1992q3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1997q3 – 1997q4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2008q3 – 2009q2</w:t>
            </w:r>
          </w:p>
        </w:tc>
      </w:tr>
      <w:tr w:rsidR="0031350B" w:rsidRPr="007303D2" w:rsidTr="00C37046">
        <w:trPr>
          <w:trHeight w:val="1008"/>
        </w:trPr>
        <w:tc>
          <w:tcPr>
            <w:tcW w:w="990" w:type="dxa"/>
            <w:tcBorders>
              <w:top w:val="nil"/>
              <w:left w:val="single" w:sz="4" w:space="0" w:color="auto"/>
              <w:bottom w:val="single" w:sz="4" w:space="0" w:color="auto"/>
              <w:right w:val="nil"/>
            </w:tcBorders>
            <w:shd w:val="clear" w:color="D8D8D8" w:fill="D8D8D8"/>
            <w:vAlign w:val="center"/>
            <w:hideMark/>
          </w:tcPr>
          <w:p w:rsidR="0031350B" w:rsidRPr="00337D8F" w:rsidRDefault="0031350B" w:rsidP="00C37046">
            <w:pPr>
              <w:spacing w:after="0" w:line="240" w:lineRule="auto"/>
              <w:rPr>
                <w:rFonts w:ascii="Calibri" w:eastAsia="Times New Roman" w:hAnsi="Calibri" w:cs="Times New Roman"/>
                <w:i/>
                <w:iCs/>
                <w:color w:val="000000"/>
                <w:sz w:val="16"/>
                <w:szCs w:val="16"/>
              </w:rPr>
            </w:pPr>
            <w:r w:rsidRPr="00337D8F">
              <w:rPr>
                <w:rFonts w:ascii="Calibri" w:eastAsia="Times New Roman" w:hAnsi="Calibri" w:cs="Times New Roman"/>
                <w:i/>
                <w:iCs/>
                <w:color w:val="000000"/>
                <w:sz w:val="16"/>
                <w:szCs w:val="16"/>
              </w:rPr>
              <w:t>Peru</w:t>
            </w:r>
          </w:p>
        </w:tc>
        <w:tc>
          <w:tcPr>
            <w:tcW w:w="1530" w:type="dxa"/>
            <w:tcBorders>
              <w:top w:val="nil"/>
              <w:left w:val="single" w:sz="4" w:space="0" w:color="auto"/>
              <w:bottom w:val="single" w:sz="4" w:space="0" w:color="auto"/>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2001q1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2003q2 – 2004q1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2009q2 – 2009q4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2014q3 – 2015q2</w:t>
            </w:r>
          </w:p>
        </w:tc>
        <w:tc>
          <w:tcPr>
            <w:tcW w:w="1530" w:type="dxa"/>
            <w:tcBorders>
              <w:top w:val="nil"/>
              <w:left w:val="nil"/>
              <w:bottom w:val="single" w:sz="4" w:space="0" w:color="auto"/>
              <w:right w:val="nil"/>
            </w:tcBorders>
            <w:shd w:val="clear" w:color="D8D8D8" w:fill="D8D8D8"/>
            <w:hideMark/>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620" w:type="dxa"/>
            <w:tcBorders>
              <w:top w:val="nil"/>
              <w:left w:val="single" w:sz="4" w:space="0" w:color="auto"/>
              <w:bottom w:val="single" w:sz="4" w:space="0" w:color="auto"/>
              <w:right w:val="nil"/>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2001q1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2003q2 – 2004q1</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2009q2 – 2009q4</w:t>
            </w:r>
          </w:p>
        </w:tc>
        <w:tc>
          <w:tcPr>
            <w:tcW w:w="1530" w:type="dxa"/>
            <w:tcBorders>
              <w:top w:val="nil"/>
              <w:left w:val="nil"/>
              <w:bottom w:val="single" w:sz="4" w:space="0" w:color="auto"/>
              <w:right w:val="single" w:sz="4" w:space="0" w:color="auto"/>
            </w:tcBorders>
            <w:shd w:val="clear" w:color="D8D8D8" w:fill="D8D8D8"/>
            <w:hideMark/>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2007q1 – 2007q2</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c>
          <w:tcPr>
            <w:tcW w:w="1440" w:type="dxa"/>
            <w:tcBorders>
              <w:top w:val="nil"/>
              <w:left w:val="single" w:sz="4" w:space="0" w:color="auto"/>
              <w:bottom w:val="single" w:sz="4" w:space="0" w:color="auto"/>
              <w:right w:val="nil"/>
            </w:tcBorders>
            <w:shd w:val="clear" w:color="D8D8D8" w:fill="D8D8D8"/>
          </w:tcPr>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2001q1 – 2001q2</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2003q2 – 2004q1</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2005q4 – 2006q3</w:t>
            </w:r>
          </w:p>
          <w:p w:rsidR="0031350B"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2009q2 – 2009q4</w:t>
            </w:r>
          </w:p>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2014q3 – 2015q2</w:t>
            </w:r>
          </w:p>
        </w:tc>
        <w:tc>
          <w:tcPr>
            <w:tcW w:w="1440" w:type="dxa"/>
            <w:tcBorders>
              <w:top w:val="nil"/>
              <w:left w:val="nil"/>
              <w:bottom w:val="single" w:sz="4" w:space="0" w:color="auto"/>
              <w:right w:val="single" w:sz="4" w:space="0" w:color="auto"/>
            </w:tcBorders>
            <w:shd w:val="clear" w:color="D8D8D8" w:fill="D8D8D8"/>
          </w:tcPr>
          <w:p w:rsidR="0031350B" w:rsidRPr="007303D2" w:rsidRDefault="0031350B" w:rsidP="00C3704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2007q4 – 2008q3</w:t>
            </w:r>
          </w:p>
        </w:tc>
      </w:tr>
    </w:tbl>
    <w:p w:rsidR="0031350B" w:rsidRDefault="0031350B" w:rsidP="008A2EB7">
      <w:pPr>
        <w:rPr>
          <w:color w:val="000000" w:themeColor="text1"/>
        </w:rPr>
      </w:pPr>
    </w:p>
    <w:p w:rsidR="0031350B" w:rsidRDefault="0031350B" w:rsidP="008A2EB7">
      <w:pPr>
        <w:rPr>
          <w:color w:val="000000" w:themeColor="text1"/>
        </w:rPr>
      </w:pPr>
    </w:p>
    <w:p w:rsidR="0031350B" w:rsidRDefault="0031350B" w:rsidP="008A2EB7">
      <w:pPr>
        <w:rPr>
          <w:color w:val="000000" w:themeColor="text1"/>
        </w:rPr>
      </w:pPr>
    </w:p>
    <w:p w:rsidR="0031350B" w:rsidRDefault="0031350B" w:rsidP="008A2EB7">
      <w:pPr>
        <w:rPr>
          <w:color w:val="000000" w:themeColor="text1"/>
        </w:rPr>
      </w:pPr>
    </w:p>
    <w:p w:rsidR="00715A66" w:rsidRPr="00715A66" w:rsidRDefault="00715A66" w:rsidP="00715A66"/>
    <w:p w:rsidR="00715A66" w:rsidRPr="00715A66" w:rsidRDefault="00715A66"/>
    <w:sectPr w:rsidR="00715A66" w:rsidRPr="00715A66" w:rsidSect="000C56A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7" w:date="2017-05-02T12:40:00Z" w:initials="u">
    <w:p w:rsidR="0031350B" w:rsidRDefault="0031350B" w:rsidP="0031350B">
      <w:pPr>
        <w:pStyle w:val="CommentText"/>
      </w:pPr>
      <w:r>
        <w:rPr>
          <w:rStyle w:val="CommentReference"/>
        </w:rPr>
        <w:annotationRef/>
      </w:r>
      <w:r>
        <w:t>This surge in net flows is actually a retrenchment episode.</w:t>
      </w:r>
    </w:p>
  </w:comment>
  <w:comment w:id="1" w:author="user7" w:date="2017-05-02T12:40:00Z" w:initials="u">
    <w:p w:rsidR="0031350B" w:rsidRDefault="0031350B" w:rsidP="0031350B">
      <w:pPr>
        <w:pStyle w:val="CommentText"/>
      </w:pPr>
      <w:r>
        <w:rPr>
          <w:rStyle w:val="CommentReference"/>
        </w:rPr>
        <w:annotationRef/>
      </w:r>
      <w:r>
        <w:t xml:space="preserve">Not indentified by Forbes and Warnock, nor with IMF data. </w:t>
      </w:r>
    </w:p>
  </w:comment>
  <w:comment w:id="2" w:author="user7" w:date="2017-05-02T12:40:00Z" w:initials="u">
    <w:p w:rsidR="0031350B" w:rsidRDefault="0031350B" w:rsidP="0031350B">
      <w:pPr>
        <w:pStyle w:val="CommentText"/>
      </w:pPr>
      <w:r>
        <w:rPr>
          <w:rStyle w:val="CommentReference"/>
        </w:rPr>
        <w:annotationRef/>
      </w:r>
      <w:r>
        <w:t xml:space="preserve">There is </w:t>
      </w:r>
      <w:proofErr w:type="spellStart"/>
      <w:r>
        <w:t>actially</w:t>
      </w:r>
      <w:proofErr w:type="spellEnd"/>
      <w:r>
        <w:t xml:space="preserve"> a sudden stop going in gross inflows but the retrenchment of gross outflows masks that in net flows and even turns into a surge in net flows. </w:t>
      </w:r>
    </w:p>
  </w:comment>
  <w:comment w:id="3" w:author="user7" w:date="2017-05-02T12:40:00Z" w:initials="u">
    <w:p w:rsidR="0031350B" w:rsidRDefault="0031350B" w:rsidP="0031350B">
      <w:pPr>
        <w:pStyle w:val="CommentText"/>
      </w:pPr>
      <w:r>
        <w:rPr>
          <w:rStyle w:val="CommentReference"/>
        </w:rPr>
        <w:annotationRef/>
      </w:r>
      <w:r>
        <w:t>Is actually a flight episode</w:t>
      </w:r>
    </w:p>
  </w:comment>
  <w:comment w:id="4" w:author="user7" w:date="2017-05-02T12:40:00Z" w:initials="u">
    <w:p w:rsidR="0031350B" w:rsidRDefault="0031350B" w:rsidP="0031350B">
      <w:pPr>
        <w:pStyle w:val="CommentText"/>
      </w:pPr>
      <w:r>
        <w:rPr>
          <w:rStyle w:val="CommentReference"/>
        </w:rPr>
        <w:annotationRef/>
      </w:r>
      <w:r>
        <w:t xml:space="preserve">There is actually a true </w:t>
      </w:r>
      <w:proofErr w:type="spellStart"/>
      <w:r>
        <w:t>sureg</w:t>
      </w:r>
      <w:proofErr w:type="spellEnd"/>
      <w:r>
        <w:t xml:space="preserve"> going on but also a flight that is so strong that it turns net flows into a sudden stop. </w:t>
      </w:r>
    </w:p>
  </w:comment>
  <w:comment w:id="5" w:author="user7" w:date="2017-05-02T12:40:00Z" w:initials="u">
    <w:p w:rsidR="0031350B" w:rsidRDefault="0031350B" w:rsidP="0031350B">
      <w:pPr>
        <w:pStyle w:val="CommentText"/>
      </w:pPr>
      <w:r>
        <w:rPr>
          <w:rStyle w:val="CommentReference"/>
        </w:rPr>
        <w:annotationRef/>
      </w:r>
      <w:r>
        <w:t xml:space="preserve">The only surge identified with net flows is actually a retrenchment episode. </w:t>
      </w:r>
    </w:p>
  </w:comment>
  <w:comment w:id="6" w:author="user7" w:date="2017-05-02T12:40:00Z" w:initials="u">
    <w:p w:rsidR="0031350B" w:rsidRDefault="0031350B" w:rsidP="0031350B">
      <w:pPr>
        <w:pStyle w:val="CommentText"/>
      </w:pPr>
      <w:r>
        <w:rPr>
          <w:rStyle w:val="CommentReference"/>
        </w:rPr>
        <w:annotationRef/>
      </w:r>
      <w:r>
        <w:t xml:space="preserve">This true sudden stop is missed because it occurs together with a retrenchment episode. </w:t>
      </w:r>
    </w:p>
  </w:comment>
  <w:comment w:id="7" w:author="user7" w:date="2017-05-02T12:40:00Z" w:initials="u">
    <w:p w:rsidR="0031350B" w:rsidRDefault="0031350B" w:rsidP="0031350B">
      <w:pPr>
        <w:pStyle w:val="CommentText"/>
      </w:pPr>
      <w:r>
        <w:rPr>
          <w:rStyle w:val="CommentReference"/>
        </w:rPr>
        <w:annotationRef/>
      </w:r>
      <w:r>
        <w:t>Is actually a flight episode</w:t>
      </w:r>
    </w:p>
  </w:comment>
  <w:comment w:id="8" w:author="user7" w:date="2017-05-02T12:47:00Z" w:initials="u">
    <w:p w:rsidR="0031350B" w:rsidRDefault="0031350B" w:rsidP="0031350B">
      <w:pPr>
        <w:pStyle w:val="CommentText"/>
      </w:pPr>
      <w:r>
        <w:rPr>
          <w:rStyle w:val="CommentReference"/>
        </w:rPr>
        <w:annotationRef/>
      </w:r>
      <w:r>
        <w:t xml:space="preserve">Not identified with CEPAL data; only touches the + 1 std dev line. </w:t>
      </w:r>
    </w:p>
  </w:comment>
  <w:comment w:id="9" w:author="user7" w:date="2017-05-02T12:47:00Z" w:initials="u">
    <w:p w:rsidR="0031350B" w:rsidRDefault="0031350B" w:rsidP="0031350B">
      <w:pPr>
        <w:pStyle w:val="CommentText"/>
      </w:pPr>
      <w:r>
        <w:rPr>
          <w:rStyle w:val="CommentReference"/>
        </w:rPr>
        <w:annotationRef/>
      </w:r>
      <w:r>
        <w:t xml:space="preserve">With ECLAC data it only passes the +1std dev limit and stays just below the two std dev line. So according to the definition adopted it is not an official sudden stop. </w:t>
      </w:r>
    </w:p>
  </w:comment>
  <w:comment w:id="10" w:author="user7" w:date="2017-05-02T12:47:00Z" w:initials="u">
    <w:p w:rsidR="0031350B" w:rsidRDefault="0031350B" w:rsidP="0031350B">
      <w:pPr>
        <w:pStyle w:val="CommentText"/>
      </w:pPr>
      <w:r>
        <w:rPr>
          <w:rStyle w:val="CommentReference"/>
        </w:rPr>
        <w:annotationRef/>
      </w:r>
      <w:r>
        <w:t xml:space="preserve">With IMF data the standard deviation is larger and because of this the sudden stops of 1999Q1 – 1999Q2 and 2008q2 – 2009q3 are not surpassing the average mean + 2 times the standard deviation. It remains in the lower limit; i.e. + 1std dev. </w:t>
      </w:r>
    </w:p>
  </w:comment>
  <w:comment w:id="11" w:author="user7" w:date="2017-05-02T12:47:00Z" w:initials="u">
    <w:p w:rsidR="0031350B" w:rsidRDefault="0031350B" w:rsidP="0031350B">
      <w:pPr>
        <w:pStyle w:val="CommentText"/>
      </w:pPr>
      <w:r>
        <w:rPr>
          <w:rStyle w:val="CommentReference"/>
        </w:rPr>
        <w:annotationRef/>
      </w:r>
      <w:r>
        <w:t xml:space="preserve">This sudden stop is not identified with CEPAL data nor with IMF data. They stay below 2 standard deviations. </w:t>
      </w:r>
    </w:p>
  </w:comment>
  <w:comment w:id="12" w:author="user7" w:date="2017-05-02T12:47:00Z" w:initials="u">
    <w:p w:rsidR="0031350B" w:rsidRDefault="0031350B" w:rsidP="0031350B">
      <w:pPr>
        <w:pStyle w:val="CommentText"/>
      </w:pPr>
      <w:r>
        <w:rPr>
          <w:rStyle w:val="CommentReference"/>
        </w:rPr>
        <w:annotationRef/>
      </w:r>
      <w:r>
        <w:t xml:space="preserve">Only lower limit with IMF data and CEPAL data. </w:t>
      </w:r>
    </w:p>
  </w:comment>
  <w:comment w:id="13" w:author="user7" w:date="2017-05-02T12:48:00Z" w:initials="u">
    <w:p w:rsidR="0031350B" w:rsidRDefault="0031350B" w:rsidP="0031350B">
      <w:pPr>
        <w:pStyle w:val="CommentText"/>
      </w:pPr>
      <w:r>
        <w:rPr>
          <w:rStyle w:val="CommentReference"/>
        </w:rPr>
        <w:annotationRef/>
      </w:r>
      <w:r>
        <w:t xml:space="preserve">Not indentified by Forbes and Warnock, nor with IMF data. </w:t>
      </w:r>
    </w:p>
  </w:comment>
  <w:comment w:id="14" w:author="user7" w:date="2017-05-02T12:48:00Z" w:initials="u">
    <w:p w:rsidR="0031350B" w:rsidRDefault="0031350B" w:rsidP="0031350B">
      <w:pPr>
        <w:pStyle w:val="CommentText"/>
      </w:pPr>
      <w:r>
        <w:rPr>
          <w:rStyle w:val="CommentReference"/>
        </w:rPr>
        <w:annotationRef/>
      </w:r>
      <w:r>
        <w:t>Not identified with CEPAL data, only in lower limit</w:t>
      </w:r>
    </w:p>
  </w:comment>
  <w:comment w:id="15" w:author="user7" w:date="2017-05-02T12:48:00Z" w:initials="u">
    <w:p w:rsidR="0031350B" w:rsidRDefault="0031350B" w:rsidP="0031350B">
      <w:pPr>
        <w:pStyle w:val="CommentText"/>
      </w:pPr>
      <w:r>
        <w:rPr>
          <w:rStyle w:val="CommentReference"/>
        </w:rPr>
        <w:annotationRef/>
      </w:r>
      <w:r>
        <w:t>Not identified with CEPAL data, only in lower limit</w:t>
      </w:r>
    </w:p>
  </w:comment>
  <w:comment w:id="16" w:author="user7" w:date="2017-05-02T12:48:00Z" w:initials="u">
    <w:p w:rsidR="0031350B" w:rsidRDefault="0031350B" w:rsidP="0031350B">
      <w:pPr>
        <w:pStyle w:val="CommentText"/>
      </w:pPr>
      <w:r>
        <w:rPr>
          <w:rStyle w:val="CommentReference"/>
        </w:rPr>
        <w:annotationRef/>
      </w:r>
      <w:r>
        <w:t>Neither identified with CEPAL data nor with IMF, only stays in lower limit</w:t>
      </w:r>
    </w:p>
  </w:comment>
  <w:comment w:id="17" w:author="user7" w:date="2017-05-02T12:48:00Z" w:initials="u">
    <w:p w:rsidR="0031350B" w:rsidRDefault="0031350B" w:rsidP="0031350B">
      <w:pPr>
        <w:pStyle w:val="CommentText"/>
      </w:pPr>
      <w:r>
        <w:rPr>
          <w:rStyle w:val="CommentReference"/>
        </w:rPr>
        <w:annotationRef/>
      </w:r>
      <w:r>
        <w:t>Neither identified with CEPAL data nor with IMF, only stays in lower limit just below the upper limit of two standard deviations</w:t>
      </w:r>
    </w:p>
  </w:comment>
  <w:comment w:id="18" w:author="user7" w:date="2017-05-02T12:48:00Z" w:initials="u">
    <w:p w:rsidR="0031350B" w:rsidRDefault="0031350B" w:rsidP="0031350B">
      <w:pPr>
        <w:pStyle w:val="CommentText"/>
      </w:pPr>
      <w:r>
        <w:rPr>
          <w:rStyle w:val="CommentReference"/>
        </w:rPr>
        <w:annotationRef/>
      </w:r>
      <w:r>
        <w:t>Neither identified with CEPAL data nor with IMF, only stays in lower limit just below the upper limit of two standard deviations</w:t>
      </w:r>
    </w:p>
  </w:comment>
  <w:comment w:id="19" w:author="user7" w:date="2017-05-02T12:48:00Z" w:initials="u">
    <w:p w:rsidR="0031350B" w:rsidRDefault="0031350B" w:rsidP="0031350B">
      <w:pPr>
        <w:pStyle w:val="CommentText"/>
      </w:pPr>
      <w:r>
        <w:rPr>
          <w:rStyle w:val="CommentReference"/>
        </w:rPr>
        <w:annotationRef/>
      </w:r>
      <w:r>
        <w:t>Neither identified with CEPAL data nor with IMF, only stays in lower limit just below the upper limit of two standard deviations</w:t>
      </w:r>
    </w:p>
  </w:comment>
  <w:comment w:id="20" w:author="user7" w:date="2017-05-02T12:48:00Z" w:initials="u">
    <w:p w:rsidR="0031350B" w:rsidRDefault="0031350B" w:rsidP="0031350B">
      <w:pPr>
        <w:pStyle w:val="CommentText"/>
      </w:pPr>
      <w:r>
        <w:rPr>
          <w:rStyle w:val="CommentReference"/>
        </w:rPr>
        <w:annotationRef/>
      </w:r>
      <w:r>
        <w:t>Neither identified with CEPAL data nor with IMF, only stays in lower limit just below the upper limit of two standard deviations</w:t>
      </w:r>
    </w:p>
  </w:comment>
  <w:comment w:id="21" w:author="user7" w:date="2017-05-02T12:48:00Z" w:initials="u">
    <w:p w:rsidR="0031350B" w:rsidRDefault="0031350B" w:rsidP="0031350B">
      <w:pPr>
        <w:pStyle w:val="CommentText"/>
      </w:pPr>
      <w:r>
        <w:rPr>
          <w:rStyle w:val="CommentReference"/>
        </w:rPr>
        <w:annotationRef/>
      </w:r>
      <w:r>
        <w:t xml:space="preserve">Not identified with CEPAL data, only stays in lower limit of +1 std dev.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01EE"/>
    <w:multiLevelType w:val="hybridMultilevel"/>
    <w:tmpl w:val="92E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15A66"/>
    <w:rsid w:val="000C56A0"/>
    <w:rsid w:val="0031350B"/>
    <w:rsid w:val="00715A66"/>
    <w:rsid w:val="008A2EB7"/>
    <w:rsid w:val="00A53DC6"/>
    <w:rsid w:val="00C7730A"/>
    <w:rsid w:val="00EE7238"/>
    <w:rsid w:val="00F6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EB7"/>
    <w:rPr>
      <w:sz w:val="16"/>
      <w:szCs w:val="16"/>
    </w:rPr>
  </w:style>
  <w:style w:type="paragraph" w:styleId="CommentText">
    <w:name w:val="annotation text"/>
    <w:basedOn w:val="Normal"/>
    <w:link w:val="CommentTextChar"/>
    <w:uiPriority w:val="99"/>
    <w:semiHidden/>
    <w:unhideWhenUsed/>
    <w:rsid w:val="008A2EB7"/>
    <w:pPr>
      <w:spacing w:line="240" w:lineRule="auto"/>
    </w:pPr>
    <w:rPr>
      <w:sz w:val="20"/>
      <w:szCs w:val="20"/>
    </w:rPr>
  </w:style>
  <w:style w:type="character" w:customStyle="1" w:styleId="CommentTextChar">
    <w:name w:val="Comment Text Char"/>
    <w:basedOn w:val="DefaultParagraphFont"/>
    <w:link w:val="CommentText"/>
    <w:uiPriority w:val="99"/>
    <w:semiHidden/>
    <w:rsid w:val="008A2EB7"/>
    <w:rPr>
      <w:sz w:val="20"/>
      <w:szCs w:val="20"/>
    </w:rPr>
  </w:style>
  <w:style w:type="paragraph" w:styleId="ListParagraph">
    <w:name w:val="List Paragraph"/>
    <w:basedOn w:val="Normal"/>
    <w:uiPriority w:val="34"/>
    <w:qFormat/>
    <w:rsid w:val="008A2EB7"/>
    <w:pPr>
      <w:ind w:left="720"/>
      <w:contextualSpacing/>
    </w:pPr>
  </w:style>
  <w:style w:type="paragraph" w:styleId="BalloonText">
    <w:name w:val="Balloon Text"/>
    <w:basedOn w:val="Normal"/>
    <w:link w:val="BalloonTextChar"/>
    <w:uiPriority w:val="99"/>
    <w:semiHidden/>
    <w:unhideWhenUsed/>
    <w:rsid w:val="008A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1</cp:revision>
  <dcterms:created xsi:type="dcterms:W3CDTF">2017-05-02T14:36:00Z</dcterms:created>
  <dcterms:modified xsi:type="dcterms:W3CDTF">2017-05-02T15:49:00Z</dcterms:modified>
</cp:coreProperties>
</file>