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51.png" ContentType="image/png"/>
  <Override PartName="/word/media/rId52.png" ContentType="image/png"/>
  <Override PartName="/word/media/rId49.png" ContentType="image/png"/>
  <Override PartName="/word/media/rId47.png" ContentType="image/png"/>
  <Override PartName="/word/media/rId39.png" ContentType="image/png"/>
  <Override PartName="/word/media/rId40.png" ContentType="image/png"/>
  <Override PartName="/word/media/rId43.png" ContentType="image/png"/>
  <Override PartName="/word/media/rId44.png" ContentType="image/png"/>
  <Override PartName="/word/media/rId41.png" ContentType="image/png"/>
  <Override PartName="/word/media/rId42.png" ContentType="image/png"/>
  <Override PartName="/word/media/rId48.png" ContentType="image/png"/>
  <Override PartName="/word/media/rId45.png" ContentType="image/png"/>
  <Override PartName="/word/media/rId46.png" ContentType="image/png"/>
  <Override PartName="/word/media/rId25.png" ContentType="image/png"/>
  <Override PartName="/word/media/rId23.png" ContentType="image/png"/>
  <Override PartName="/word/media/rId24.png" ContentType="image/png"/>
  <Override PartName="/word/media/rId33.png" ContentType="image/png"/>
  <Override PartName="/word/media/rId34.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II:</w:t>
      </w:r>
      <w:r>
        <w:t xml:space="preserve"> </w:t>
      </w:r>
      <w:r>
        <w:t xml:space="preserve">La</w:t>
      </w:r>
      <w:r>
        <w:t xml:space="preserve"> </w:t>
      </w:r>
      <w:r>
        <w:t xml:space="preserve">región</w:t>
      </w:r>
      <w:r>
        <w:t xml:space="preserve"> </w:t>
      </w:r>
      <w:r>
        <w:t xml:space="preserve">y</w:t>
      </w:r>
      <w:r>
        <w:t xml:space="preserve"> </w:t>
      </w:r>
      <w:r>
        <w:t xml:space="preserve">el</w:t>
      </w:r>
      <w:r>
        <w:t xml:space="preserve"> </w:t>
      </w:r>
      <w:r>
        <w:t xml:space="preserve">nuevo</w:t>
      </w:r>
      <w:r>
        <w:t xml:space="preserve"> </w:t>
      </w:r>
      <w:r>
        <w:t xml:space="preserve">normal</w:t>
      </w:r>
    </w:p>
    <w:p>
      <w:pPr>
        <w:pStyle w:val="Author"/>
      </w:pPr>
      <w:r>
        <w:t xml:space="preserve">DDE</w:t>
      </w:r>
    </w:p>
    <w:p>
      <w:pPr>
        <w:pStyle w:val="Date"/>
      </w:pPr>
      <w:r>
        <w:t xml:space="preserve">2017-05-30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un-nuevo-patron-de-comportamiento-en-el-mundo-desarrollado"/>
      <w:bookmarkEnd w:id="21"/>
      <w:r>
        <w:t xml:space="preserve">Un nuevo "patrón de comportamiento" en el mundo desarrollado</w:t>
      </w:r>
    </w:p>
    <w:p>
      <w:pPr>
        <w:pStyle w:val="FirstParagraph"/>
      </w:pPr>
      <w:r>
        <w:t xml:space="preserve">El ciclo actual que vive la región (Capítulo I) y sus características responde, en parte, a los cambios acaecidos en la economía internacional y a la manera, en vista de estos cambios, en la cual se transmiten los impulsos desde los países más avanzados hacia las economías en desarrollo.</w:t>
      </w:r>
    </w:p>
    <w:p>
      <w:pPr>
        <w:pStyle w:val="BodyText"/>
      </w:pPr>
      <w:r>
        <w:t xml:space="preserve">A partir de la crisis global financiera, las economías desarrolladas han experimentado importantes cambios que afectan sobre todo a la esfera real de la actividad económica. Estos cambios en el entorno en que se inserta la región incluyen, por una parte, un menor dinamismo de la producción, reflejado en una menor tasa de crecimiento del PIB tendencial de las economías desarrolladas, el estancamiento de la formación de capital fijo, la caída abrupta del dinamismo del comercio y un aumento sin precedentes en la desigualdad. Estos cambios configuran, en efecto, un nuevo patrón de comportamiento de las economías avanzadas. Para la región esto significa que en el mediano plazo el foco de los posibles riesgos pasan del sector financiero al real.</w:t>
      </w:r>
    </w:p>
    <w:p>
      <w:pPr>
        <w:pStyle w:val="BodyText"/>
      </w:pPr>
      <w:r>
        <w:t xml:space="preserve">Revisemos algunos datos que ilustran estos cambios.</w:t>
      </w:r>
    </w:p>
    <w:p>
      <w:pPr>
        <w:pStyle w:val="BodyText"/>
      </w:pPr>
      <w:r>
        <w:t xml:space="preserve">En primer lugar tenemos el ralentizamiento general de la actividad económica, que puede resumirse en el comportamiento de los PIB tendenciales. En el período anterior a la gran crisis financiera global, caracterizado por un rápido incremento del precio de los commodities, es decir el quinquenio 2003-2008, la tasa de crecimiento promedio del PIB tendencial de las economías avanzadas era 50% mayor al promedio que han mostrado desde el 2010 al 2016 (Ver cuadro 1) y algo muy similar ocurrió al crecimiento promedio con Estados Unidos y China, cuyas tasas de crecimiento cayeron de 2,4% a 1,5% y de 9,4% a 6,6%, respectivamente.</w:t>
      </w:r>
    </w:p>
    <w:p>
      <w:pPr>
        <w:pStyle w:val="TableCaption"/>
      </w:pPr>
      <w:r>
        <w:t xml:space="preserve">Tasas de crecimiento de las economías a nivel mundial (% anual del PIB tendencial)</w:t>
      </w:r>
    </w:p>
    <w:tbl>
      <w:tblPr>
        <w:tblStyle w:val="TableNormal"/>
        <w:tblW w:type="pct" w:w="0.0"/>
        <w:tblLook w:firstRow="1"/>
        <w:tblCaption w:val="Tasas de crecimiento de las economías a nivel mundial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right"/>
            </w:pPr>
            <w:r>
              <w:t xml:space="preserve">Caída (%)</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right"/>
            </w:pPr>
            <w:r>
              <w:t xml:space="preserve">-43.2</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right"/>
            </w:pPr>
            <w:r>
              <w:t xml:space="preserve">-34.0</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right"/>
            </w:pPr>
            <w:r>
              <w:t xml:space="preserve">-38.4</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right"/>
            </w:pPr>
            <w:r>
              <w:t xml:space="preserve">-29.8</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Íntimamente ligados a este resultado tenemos un virtual estancamiento de la inversión y de la productividad en los países desarrollados. Por ejemplo, si tomamos el caso de los Estados Unidos vemos que la productividad media del trabajo aumentó en la década de los noventa. Esta pasó de 1.7% y 3.1%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la productividad en los noventa (Cuadro 2).</w:t>
      </w:r>
    </w:p>
    <w:p>
      <w:pPr>
        <w:pStyle w:val="BodyText"/>
      </w:pPr>
      <w:r>
        <w:t xml:space="preserve">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p>
    <w:p>
      <w:pPr>
        <w:pStyle w:val="BodyText"/>
      </w:pPr>
      <w:r>
        <w:t xml:space="preserve">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 Por su parte Asia en desarrollo (sin China e India), Medio Oriente y África del Norte y América Latina mostraron un estancamiento en el crecimiento de la productividad.</w:t>
      </w:r>
    </w:p>
    <w:p>
      <w:pPr>
        <w:pStyle w:val="TableCaption"/>
      </w:pPr>
      <w:r>
        <w:t xml:space="preserve">Crecimiento de la productividad, economías desarrolladas</w:t>
      </w:r>
    </w:p>
    <w:tbl>
      <w:tblPr>
        <w:tblStyle w:val="TableNormal"/>
        <w:tblW w:type="pct" w:w="0.0"/>
        <w:tblLook w:firstRow="1"/>
        <w:tblCaption w:val="Crecimiento de la productividad, economías desarrollada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United States</w:t>
            </w:r>
          </w:p>
        </w:tc>
        <w:tc>
          <w:p>
            <w:pPr>
              <w:pStyle w:val="Compact"/>
              <w:jc w:val="center"/>
            </w:pPr>
            <w:r>
              <w:t xml:space="preserve">1.7</w:t>
            </w:r>
          </w:p>
        </w:tc>
        <w:tc>
          <w:p>
            <w:pPr>
              <w:pStyle w:val="Compact"/>
              <w:jc w:val="right"/>
            </w:pPr>
            <w:r>
              <w:t xml:space="preserve">3.1</w:t>
            </w:r>
          </w:p>
        </w:tc>
        <w:tc>
          <w:p>
            <w:pPr>
              <w:pStyle w:val="Compact"/>
              <w:jc w:val="right"/>
            </w:pPr>
            <w:r>
              <w:t xml:space="preserve">2.0</w:t>
            </w:r>
          </w:p>
        </w:tc>
        <w:tc>
          <w:p>
            <w:pPr>
              <w:pStyle w:val="Compact"/>
              <w:jc w:val="right"/>
            </w:pPr>
            <w:r>
              <w:t xml:space="preserve">0.8</w:t>
            </w:r>
          </w:p>
        </w:tc>
        <w:tc>
          <w:p>
            <w:pPr>
              <w:pStyle w:val="Compact"/>
              <w:jc w:val="right"/>
            </w:pPr>
            <w:r>
              <w:t xml:space="preserve">1.1</w:t>
            </w:r>
          </w:p>
        </w:tc>
      </w:tr>
      <w:tr>
        <w:tc>
          <w:p>
            <w:pPr>
              <w:pStyle w:val="Compact"/>
              <w:jc w:val="left"/>
            </w:pPr>
            <w:r>
              <w:t xml:space="preserve">Other Mature Economies</w:t>
            </w:r>
          </w:p>
        </w:tc>
        <w:tc>
          <w:p>
            <w:pPr>
              <w:pStyle w:val="Compact"/>
              <w:jc w:val="center"/>
            </w:pPr>
            <w:r>
              <w:t xml:space="preserve">3.4</w:t>
            </w:r>
          </w:p>
        </w:tc>
        <w:tc>
          <w:p>
            <w:pPr>
              <w:pStyle w:val="Compact"/>
              <w:jc w:val="right"/>
            </w:pPr>
            <w:r>
              <w:t xml:space="preserve">3.8</w:t>
            </w:r>
          </w:p>
        </w:tc>
        <w:tc>
          <w:p>
            <w:pPr>
              <w:pStyle w:val="Compact"/>
              <w:jc w:val="right"/>
            </w:pPr>
            <w:r>
              <w:t xml:space="preserve">2.8</w:t>
            </w:r>
          </w:p>
        </w:tc>
        <w:tc>
          <w:p>
            <w:pPr>
              <w:pStyle w:val="Compact"/>
              <w:jc w:val="right"/>
            </w:pPr>
            <w:r>
              <w:t xml:space="preserve">1.5</w:t>
            </w:r>
          </w:p>
        </w:tc>
        <w:tc>
          <w:p>
            <w:pPr>
              <w:pStyle w:val="Compact"/>
              <w:jc w:val="right"/>
            </w:pPr>
            <w:r>
              <w:t xml:space="preserve">2.2</w:t>
            </w:r>
          </w:p>
        </w:tc>
      </w:tr>
      <w:tr>
        <w:tc>
          <w:p>
            <w:pPr>
              <w:pStyle w:val="Compact"/>
              <w:jc w:val="left"/>
            </w:pPr>
            <w:r>
              <w:t xml:space="preserve">Euro Area</w:t>
            </w:r>
          </w:p>
        </w:tc>
        <w:tc>
          <w:p>
            <w:pPr>
              <w:pStyle w:val="Compact"/>
              <w:jc w:val="center"/>
            </w:pPr>
            <w:r>
              <w:t xml:space="preserve">1.7</w:t>
            </w:r>
          </w:p>
        </w:tc>
        <w:tc>
          <w:p>
            <w:pPr>
              <w:pStyle w:val="Compact"/>
              <w:jc w:val="right"/>
            </w:pPr>
            <w:r>
              <w:t xml:space="preserve">1.3</w:t>
            </w:r>
          </w:p>
        </w:tc>
        <w:tc>
          <w:p>
            <w:pPr>
              <w:pStyle w:val="Compact"/>
              <w:jc w:val="right"/>
            </w:pPr>
            <w:r>
              <w:t xml:space="preserve">0.9</w:t>
            </w:r>
          </w:p>
        </w:tc>
        <w:tc>
          <w:p>
            <w:pPr>
              <w:pStyle w:val="Compact"/>
              <w:jc w:val="right"/>
            </w:pPr>
            <w:r>
              <w:t xml:space="preserve">-0.7</w:t>
            </w:r>
          </w:p>
        </w:tc>
        <w:tc>
          <w:p>
            <w:pPr>
              <w:pStyle w:val="Compact"/>
              <w:jc w:val="right"/>
            </w:pPr>
            <w:r>
              <w:t xml:space="preserve">0.7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TableCaption"/>
      </w:pPr>
      <w:r>
        <w:t xml:space="preserve">Crecimiento de la productividad, economías emergentes</w:t>
      </w:r>
    </w:p>
    <w:tbl>
      <w:tblPr>
        <w:tblStyle w:val="TableNormal"/>
        <w:tblW w:type="pct" w:w="0.0"/>
        <w:tblLook w:firstRow="1"/>
        <w:tblCaption w:val="Crecimiento de la productividad, economías emergente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Russia, Central Asia and Southeast Europe</w:t>
            </w:r>
          </w:p>
        </w:tc>
        <w:tc>
          <w:p>
            <w:pPr>
              <w:pStyle w:val="Compact"/>
              <w:jc w:val="center"/>
            </w:pPr>
            <w:r>
              <w:t xml:space="preserve">-5.6</w:t>
            </w:r>
          </w:p>
        </w:tc>
        <w:tc>
          <w:p>
            <w:pPr>
              <w:pStyle w:val="Compact"/>
              <w:jc w:val="right"/>
            </w:pPr>
            <w:r>
              <w:t xml:space="preserve">1.6</w:t>
            </w:r>
          </w:p>
        </w:tc>
        <w:tc>
          <w:p>
            <w:pPr>
              <w:pStyle w:val="Compact"/>
              <w:jc w:val="right"/>
            </w:pPr>
            <w:r>
              <w:t xml:space="preserve">5.6</w:t>
            </w:r>
          </w:p>
        </w:tc>
        <w:tc>
          <w:p>
            <w:pPr>
              <w:pStyle w:val="Compact"/>
              <w:jc w:val="right"/>
            </w:pPr>
            <w:r>
              <w:t xml:space="preserve">1.3</w:t>
            </w:r>
          </w:p>
        </w:tc>
        <w:tc>
          <w:p>
            <w:pPr>
              <w:pStyle w:val="Compact"/>
              <w:jc w:val="right"/>
            </w:pPr>
            <w:r>
              <w:t xml:space="preserve">1.3</w:t>
            </w:r>
          </w:p>
        </w:tc>
      </w:tr>
      <w:tr>
        <w:tc>
          <w:p>
            <w:pPr>
              <w:pStyle w:val="Compact"/>
              <w:jc w:val="left"/>
            </w:pPr>
            <w:r>
              <w:t xml:space="preserve">Sub-Saharan Africa</w:t>
            </w:r>
          </w:p>
        </w:tc>
        <w:tc>
          <w:p>
            <w:pPr>
              <w:pStyle w:val="Compact"/>
              <w:jc w:val="center"/>
            </w:pPr>
            <w:r>
              <w:t xml:space="preserve">-1.5</w:t>
            </w:r>
          </w:p>
        </w:tc>
        <w:tc>
          <w:p>
            <w:pPr>
              <w:pStyle w:val="Compact"/>
              <w:jc w:val="right"/>
            </w:pPr>
            <w:r>
              <w:t xml:space="preserve">1.5</w:t>
            </w:r>
          </w:p>
        </w:tc>
        <w:tc>
          <w:p>
            <w:pPr>
              <w:pStyle w:val="Compact"/>
              <w:jc w:val="right"/>
            </w:pPr>
            <w:r>
              <w:t xml:space="preserve">3.2</w:t>
            </w:r>
          </w:p>
        </w:tc>
        <w:tc>
          <w:p>
            <w:pPr>
              <w:pStyle w:val="Compact"/>
              <w:jc w:val="right"/>
            </w:pPr>
            <w:r>
              <w:t xml:space="preserve">3.7</w:t>
            </w:r>
          </w:p>
        </w:tc>
        <w:tc>
          <w:p>
            <w:pPr>
              <w:pStyle w:val="Compact"/>
              <w:jc w:val="right"/>
            </w:pPr>
            <w:r>
              <w:t xml:space="preserve">1.8</w:t>
            </w:r>
          </w:p>
        </w:tc>
      </w:tr>
      <w:tr>
        <w:tc>
          <w:p>
            <w:pPr>
              <w:pStyle w:val="Compact"/>
              <w:jc w:val="left"/>
            </w:pPr>
            <w:r>
              <w:t xml:space="preserve">India</w:t>
            </w:r>
          </w:p>
        </w:tc>
        <w:tc>
          <w:p>
            <w:pPr>
              <w:pStyle w:val="Compact"/>
              <w:jc w:val="center"/>
            </w:pPr>
            <w:r>
              <w:t xml:space="preserve">2.8</w:t>
            </w:r>
          </w:p>
        </w:tc>
        <w:tc>
          <w:p>
            <w:pPr>
              <w:pStyle w:val="Compact"/>
              <w:jc w:val="right"/>
            </w:pPr>
            <w:r>
              <w:t xml:space="preserve">4.3</w:t>
            </w:r>
          </w:p>
        </w:tc>
        <w:tc>
          <w:p>
            <w:pPr>
              <w:pStyle w:val="Compact"/>
              <w:jc w:val="right"/>
            </w:pPr>
            <w:r>
              <w:t xml:space="preserve">3.7</w:t>
            </w:r>
          </w:p>
        </w:tc>
        <w:tc>
          <w:p>
            <w:pPr>
              <w:pStyle w:val="Compact"/>
              <w:jc w:val="right"/>
            </w:pPr>
            <w:r>
              <w:t xml:space="preserve">6.8</w:t>
            </w:r>
          </w:p>
        </w:tc>
        <w:tc>
          <w:p>
            <w:pPr>
              <w:pStyle w:val="Compact"/>
              <w:jc w:val="right"/>
            </w:pPr>
            <w:r>
              <w:t xml:space="preserve">6.5</w:t>
            </w:r>
          </w:p>
        </w:tc>
      </w:tr>
      <w:tr>
        <w:tc>
          <w:p>
            <w:pPr>
              <w:pStyle w:val="Compact"/>
              <w:jc w:val="left"/>
            </w:pPr>
            <w:r>
              <w:t xml:space="preserve">Emerging Markets and Developing Economies</w:t>
            </w:r>
          </w:p>
        </w:tc>
        <w:tc>
          <w:p>
            <w:pPr>
              <w:pStyle w:val="Compact"/>
              <w:jc w:val="center"/>
            </w:pPr>
            <w:r>
              <w:t xml:space="preserve">0.5</w:t>
            </w:r>
          </w:p>
        </w:tc>
        <w:tc>
          <w:p>
            <w:pPr>
              <w:pStyle w:val="Compact"/>
              <w:jc w:val="right"/>
            </w:pPr>
            <w:r>
              <w:t xml:space="preserve">1.9</w:t>
            </w:r>
          </w:p>
        </w:tc>
        <w:tc>
          <w:p>
            <w:pPr>
              <w:pStyle w:val="Compact"/>
              <w:jc w:val="right"/>
            </w:pPr>
            <w:r>
              <w:t xml:space="preserve">3.9</w:t>
            </w:r>
          </w:p>
        </w:tc>
        <w:tc>
          <w:p>
            <w:pPr>
              <w:pStyle w:val="Compact"/>
              <w:jc w:val="right"/>
            </w:pPr>
            <w:r>
              <w:t xml:space="preserve">3.6</w:t>
            </w:r>
          </w:p>
        </w:tc>
        <w:tc>
          <w:p>
            <w:pPr>
              <w:pStyle w:val="Compact"/>
              <w:jc w:val="right"/>
            </w:pPr>
            <w:r>
              <w:t xml:space="preserve">3.4</w:t>
            </w:r>
          </w:p>
        </w:tc>
      </w:tr>
      <w:tr>
        <w:tc>
          <w:p>
            <w:pPr>
              <w:pStyle w:val="Compact"/>
              <w:jc w:val="left"/>
            </w:pPr>
            <w:r>
              <w:t xml:space="preserve">Middle East &amp; North Africa</w:t>
            </w:r>
          </w:p>
        </w:tc>
        <w:tc>
          <w:p>
            <w:pPr>
              <w:pStyle w:val="Compact"/>
              <w:jc w:val="center"/>
            </w:pPr>
            <w:r>
              <w:t xml:space="preserve">-1.0</w:t>
            </w:r>
          </w:p>
        </w:tc>
        <w:tc>
          <w:p>
            <w:pPr>
              <w:pStyle w:val="Compact"/>
              <w:jc w:val="right"/>
            </w:pPr>
            <w:r>
              <w:t xml:space="preserve">0.1</w:t>
            </w:r>
          </w:p>
        </w:tc>
        <w:tc>
          <w:p>
            <w:pPr>
              <w:pStyle w:val="Compact"/>
              <w:jc w:val="right"/>
            </w:pPr>
            <w:r>
              <w:t xml:space="preserve">1.1</w:t>
            </w:r>
          </w:p>
        </w:tc>
        <w:tc>
          <w:p>
            <w:pPr>
              <w:pStyle w:val="Compact"/>
              <w:jc w:val="right"/>
            </w:pPr>
            <w:r>
              <w:t xml:space="preserve">0.1</w:t>
            </w:r>
          </w:p>
        </w:tc>
        <w:tc>
          <w:p>
            <w:pPr>
              <w:pStyle w:val="Compact"/>
              <w:jc w:val="right"/>
            </w:pPr>
            <w:r>
              <w:t xml:space="preserve">0.6</w:t>
            </w:r>
          </w:p>
        </w:tc>
      </w:tr>
      <w:tr>
        <w:tc>
          <w:p>
            <w:pPr>
              <w:pStyle w:val="Compact"/>
              <w:jc w:val="left"/>
            </w:pPr>
            <w:r>
              <w:t xml:space="preserve">Latin America</w:t>
            </w:r>
          </w:p>
        </w:tc>
        <w:tc>
          <w:p>
            <w:pPr>
              <w:pStyle w:val="Compact"/>
              <w:jc w:val="center"/>
            </w:pPr>
            <w:r>
              <w:t xml:space="preserve">0.8</w:t>
            </w:r>
          </w:p>
        </w:tc>
        <w:tc>
          <w:p>
            <w:pPr>
              <w:pStyle w:val="Compact"/>
              <w:jc w:val="right"/>
            </w:pPr>
            <w:r>
              <w:t xml:space="preserve">1.0</w:t>
            </w:r>
          </w:p>
        </w:tc>
        <w:tc>
          <w:p>
            <w:pPr>
              <w:pStyle w:val="Compact"/>
              <w:jc w:val="right"/>
            </w:pPr>
            <w:r>
              <w:t xml:space="preserve">0.5</w:t>
            </w:r>
          </w:p>
        </w:tc>
        <w:tc>
          <w:p>
            <w:pPr>
              <w:pStyle w:val="Compact"/>
              <w:jc w:val="right"/>
            </w:pPr>
            <w:r>
              <w:t xml:space="preserve">1.0</w:t>
            </w:r>
          </w:p>
        </w:tc>
        <w:tc>
          <w:p>
            <w:pPr>
              <w:pStyle w:val="Compact"/>
              <w:jc w:val="right"/>
            </w:pPr>
            <w:r>
              <w:t xml:space="preserve">0.2</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r>
        <w:tc>
          <w:p>
            <w:pPr>
              <w:pStyle w:val="Compact"/>
              <w:jc w:val="left"/>
            </w:pPr>
            <w:r>
              <w:t xml:space="preserve">Other Developing Asia</w:t>
            </w:r>
          </w:p>
        </w:tc>
        <w:tc>
          <w:p>
            <w:pPr>
              <w:pStyle w:val="Compact"/>
              <w:jc w:val="center"/>
            </w:pPr>
            <w:r>
              <w:t xml:space="preserve">5.3</w:t>
            </w:r>
          </w:p>
        </w:tc>
        <w:tc>
          <w:p>
            <w:pPr>
              <w:pStyle w:val="Compact"/>
              <w:jc w:val="right"/>
            </w:pPr>
            <w:r>
              <w:t xml:space="preserve">0.6</w:t>
            </w:r>
          </w:p>
        </w:tc>
        <w:tc>
          <w:p>
            <w:pPr>
              <w:pStyle w:val="Compact"/>
              <w:jc w:val="right"/>
            </w:pPr>
            <w:r>
              <w:t xml:space="preserve">3.6</w:t>
            </w:r>
          </w:p>
        </w:tc>
        <w:tc>
          <w:p>
            <w:pPr>
              <w:pStyle w:val="Compact"/>
              <w:jc w:val="right"/>
            </w:pPr>
            <w:r>
              <w:t xml:space="preserve">2.2</w:t>
            </w:r>
          </w:p>
        </w:tc>
        <w:tc>
          <w:p>
            <w:pPr>
              <w:pStyle w:val="Compact"/>
              <w:jc w:val="right"/>
            </w:pPr>
            <w:r>
              <w:t xml:space="preserve">3.7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t xml:space="preserve">El estancamiento de la inversión en esta década se resume en que la razón Inversión/Producto, a nivel del agregado mundial, apenas aumentó 0,5% al año en este nuevo período, prácticamente la mitad de lo que aumentó en el quinquenio 2001-2006, fenómeno que se repite en el conjunto de las economías avanzadas. Peor es la situación de la zona del conjunto de las economías emergentes y en desarrollo, que no pudieron manter su tasa de crecimiento anterior y la situación de la zoa del Euro y de América Latina y el Caribe, que no han podido mantener ya no la tasa de crecimiento si no si siquiera los niveles de Inversión/PIB. Otro fenómeno interesante que exhibe la formación de capital en este período y que se discute con mayor detalle en el Box.1, se refiere al papel que juegan sus determinantes: son los beneficios económicos los que juegan un papel clave en el corto plazo y más heterogeneamente en el largo plazo, con mayor intensidad al efecto que puedan tener las políticas monetarias que influencian la tasa de interés real. Finalmente, otro antecedente importante al respecto lo aporta el cambio de largo plazo que ha tomado en el mundo la composición del ahorro y que parece continuar o al menos estabilizarse en este período: desde los años ochentas el ahorro ha ido pasando de ser un fenómeno de los hogares a uno de las empresas. En efecto, mientras el ahorro total como fracción del PIB no ha variado mucho desde 1980, en aquel entonces la mayoría provenía de los hogares, mientras que a partir del 2010 dos terceras partes del ahorro proviene de las empresas, son los nuevos acreedores netos, ahorro que en una buena proporción no se tradujo en formación de capital fijo si no en compra de activos financieros, notablemente en efectivo y en recompras accionarias (Peter Chen, Loukas Karabarbounis, and Brent Neiman, 2017). Un fenómeno relacionado con esta tendencia es la mayor participación del capital y la correspodiente caída de la porción del ingreso que percibe el factor trabajo, cambio distributivo que ayuda a explicar el aumento en la desigualdad de ingresos totales a las que nos referimos más abajo.</w:t>
      </w:r>
    </w:p>
    <w:p>
      <w:pPr>
        <w:pStyle w:val="BodyText"/>
      </w:pPr>
      <w:r>
        <w:t xml:space="preserve">En efecto, otra tendencia de mediano o largo plazo que se ha profundizado en este nuevo período es el aumento en la desigualdad en el mundo desarrollado, que comienza en los 1970s pero que toma fuerza en las últimas dos décadas, especialmente en las economías avanzadas anglosajonas (Estados Unidos, Reino Unido, Canadá y Australia). Respecto a las dinámicas de distribución del ingreso, Zucman y Alvaredo ( AER 2017, Papers and Proceedings) usando datos de la World Wealth and Income Database, calculan que la fracción del ingreso nacional que percibe el 1% de ingresos más altos de Estados Unidos se duplicó entre 1978 y 2014 (de 11% a 20%) al tiempo que la participación en el ingreso del 50% más pobre caía casi a la mitad en igual período (de 20% de a 12%). China, en el mismo período, muestra una tendencia similar, donde el 1% más de ingresos más altos más que duplica su participación (pasa de 6% a 13% del ingreso nacional) mientras que las participación del 50% más pobre cae a dos tercios de su nivel de 1978, desde un 28% a un 15%: si antes como grupo superaba cuatro veces al 1% más rico, ahora están prácticamente empatados. Francia, por su parte, que de acuerdo a Zucman y Alvaredo es en términos gruesos de Europa continental occidental, tiene un aumento más leve de la desigualdad porque por un lado la fracción que se lleva el 50% más pobre no ha caído y la fracción que se lleva el 1% más rico si bien ha aumentado, el aumento es mucho menor al que se observa en China y Estados Unidos: el grupo de ingresos más altos eleva su participación del 8% al 11%, y el grupo de ingresos más bajos se mantiene alrededor del 22%.</w:t>
      </w:r>
    </w:p>
    <w:p>
      <w:pPr>
        <w:pStyle w:val="TableCaption"/>
      </w:pPr>
      <w:r>
        <w:t xml:space="preserve">Tasa de crecimiento anual de Formación de capital/PIB</w:t>
      </w:r>
    </w:p>
    <w:tbl>
      <w:tblPr>
        <w:tblStyle w:val="TableNormal"/>
        <w:tblW w:type="pct" w:w="0.0"/>
        <w:tblLook w:firstRow="1"/>
        <w:tblCaption w:val="Tasa de crecimiento anual de Formación de capital/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Euro area</w:t>
            </w:r>
          </w:p>
        </w:tc>
        <w:tc>
          <w:p>
            <w:pPr>
              <w:pStyle w:val="Compact"/>
              <w:jc w:val="center"/>
            </w:pPr>
            <w:r>
              <w:t xml:space="preserve">-3.3</w:t>
            </w:r>
          </w:p>
        </w:tc>
        <w:tc>
          <w:p>
            <w:pPr>
              <w:pStyle w:val="Compact"/>
              <w:jc w:val="right"/>
            </w:pPr>
            <w:r>
              <w:t xml:space="preserve">1.8</w:t>
            </w:r>
          </w:p>
        </w:tc>
        <w:tc>
          <w:p>
            <w:pPr>
              <w:pStyle w:val="Compact"/>
              <w:jc w:val="right"/>
            </w:pPr>
            <w:r>
              <w:t xml:space="preserve">0.4</w:t>
            </w:r>
          </w:p>
        </w:tc>
        <w:tc>
          <w:p>
            <w:pPr>
              <w:pStyle w:val="Compact"/>
              <w:jc w:val="right"/>
            </w:pPr>
            <w:r>
              <w:t xml:space="preserve">-5.3</w:t>
            </w:r>
          </w:p>
        </w:tc>
        <w:tc>
          <w:p>
            <w:pPr>
              <w:pStyle w:val="Compact"/>
              <w:jc w:val="right"/>
            </w:pPr>
            <w:r>
              <w:t xml:space="preserve">-0.7</w:t>
            </w:r>
          </w:p>
        </w:tc>
      </w:tr>
      <w:tr>
        <w:tc>
          <w:p>
            <w:pPr>
              <w:pStyle w:val="Compact"/>
              <w:jc w:val="left"/>
            </w:pPr>
            <w:r>
              <w:t xml:space="preserve">Emerging market and developing economies</w:t>
            </w:r>
          </w:p>
        </w:tc>
        <w:tc>
          <w:p>
            <w:pPr>
              <w:pStyle w:val="Compact"/>
              <w:jc w:val="center"/>
            </w:pPr>
            <w:r>
              <w:t xml:space="preserve">-1.6</w:t>
            </w:r>
          </w:p>
        </w:tc>
        <w:tc>
          <w:p>
            <w:pPr>
              <w:pStyle w:val="Compact"/>
              <w:jc w:val="right"/>
            </w:pPr>
            <w:r>
              <w:t xml:space="preserve">-0.5</w:t>
            </w:r>
          </w:p>
        </w:tc>
        <w:tc>
          <w:p>
            <w:pPr>
              <w:pStyle w:val="Compact"/>
              <w:jc w:val="right"/>
            </w:pPr>
            <w:r>
              <w:t xml:space="preserve">2.0</w:t>
            </w:r>
          </w:p>
        </w:tc>
        <w:tc>
          <w:p>
            <w:pPr>
              <w:pStyle w:val="Compact"/>
              <w:jc w:val="right"/>
            </w:pPr>
            <w:r>
              <w:t xml:space="preserve">1.0</w:t>
            </w:r>
          </w:p>
        </w:tc>
        <w:tc>
          <w:p>
            <w:pPr>
              <w:pStyle w:val="Compact"/>
              <w:jc w:val="right"/>
            </w:pPr>
            <w:r>
              <w:t xml:space="preserve">0.3</w:t>
            </w:r>
          </w:p>
        </w:tc>
      </w:tr>
      <w:tr>
        <w:tc>
          <w:p>
            <w:pPr>
              <w:pStyle w:val="Compact"/>
              <w:jc w:val="left"/>
            </w:pPr>
            <w:r>
              <w:t xml:space="preserve">World</w:t>
            </w:r>
          </w:p>
        </w:tc>
        <w:tc>
          <w:p>
            <w:pPr>
              <w:pStyle w:val="Compact"/>
              <w:jc w:val="center"/>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-2.9</w:t>
            </w:r>
          </w:p>
        </w:tc>
        <w:tc>
          <w:p>
            <w:pPr>
              <w:pStyle w:val="Compact"/>
              <w:jc w:val="right"/>
            </w:pPr>
            <w:r>
              <w:t xml:space="preserve">0.5</w:t>
            </w:r>
          </w:p>
        </w:tc>
      </w:tr>
      <w:tr>
        <w:tc>
          <w:p>
            <w:pPr>
              <w:pStyle w:val="Compact"/>
              <w:jc w:val="left"/>
            </w:pPr>
            <w:r>
              <w:t xml:space="preserve">Advanced economies</w:t>
            </w:r>
          </w:p>
        </w:tc>
        <w:tc>
          <w:p>
            <w:pPr>
              <w:pStyle w:val="Compact"/>
              <w:jc w:val="center"/>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-5.6</w:t>
            </w:r>
          </w:p>
        </w:tc>
        <w:tc>
          <w:p>
            <w:pPr>
              <w:pStyle w:val="Compact"/>
              <w:jc w:val="right"/>
            </w:pPr>
            <w:r>
              <w:t xml:space="preserve">0.2</w:t>
            </w:r>
          </w:p>
        </w:tc>
      </w:tr>
      <w:tr>
        <w:tc>
          <w:p>
            <w:pPr>
              <w:pStyle w:val="Compact"/>
              <w:jc w:val="left"/>
            </w:pPr>
            <w:r>
              <w:t xml:space="preserve">Latin America and the Caribbean</w:t>
            </w:r>
          </w:p>
        </w:tc>
        <w:tc>
          <w:p>
            <w:pPr>
              <w:pStyle w:val="Compact"/>
              <w:jc w:val="center"/>
            </w:pPr>
            <w:r>
              <w:t xml:space="preserve">1.2</w:t>
            </w:r>
          </w:p>
        </w:tc>
        <w:tc>
          <w:p>
            <w:pPr>
              <w:pStyle w:val="Compact"/>
              <w:jc w:val="right"/>
            </w:pPr>
            <w:r>
              <w:t xml:space="preserve">1.3</w:t>
            </w:r>
          </w:p>
        </w:tc>
        <w:tc>
          <w:p>
            <w:pPr>
              <w:pStyle w:val="Compact"/>
              <w:jc w:val="right"/>
            </w:pPr>
            <w:r>
              <w:t xml:space="preserve">1.2</w:t>
            </w:r>
          </w:p>
        </w:tc>
        <w:tc>
          <w:p>
            <w:pPr>
              <w:pStyle w:val="Compact"/>
              <w:jc w:val="right"/>
            </w:pPr>
            <w:r>
              <w:t xml:space="preserve">-2.5</w:t>
            </w:r>
          </w:p>
        </w:tc>
        <w:tc>
          <w:p>
            <w:pPr>
              <w:pStyle w:val="Compact"/>
              <w:jc w:val="right"/>
            </w:pPr>
            <w:r>
              <w:t xml:space="preserve">-1.6</w:t>
            </w:r>
          </w:p>
        </w:tc>
      </w:tr>
    </w:tbl>
    <w:p>
      <w:pPr>
        <w:pStyle w:val="BodyText"/>
      </w:pPr>
      <w:r>
        <w:rPr>
          <w:b/>
        </w:rPr>
        <w:t xml:space="preserve">Note:</w:t>
      </w:r>
      <w:r>
        <w:t xml:space="preserve"> </w:t>
      </w:r>
      <w:r>
        <w:rPr>
          <w:vertAlign w:val="superscript"/>
        </w:rPr>
        <w:t xml:space="preserve">a</w:t>
      </w:r>
      <w:r>
        <w:t xml:space="preserve"> </w:t>
      </w:r>
      <w:r>
        <w:t xml:space="preserve">Fuente: IMF, Abril, 2017</w:t>
      </w:r>
    </w:p>
    <w:p>
      <w:pPr>
        <w:pStyle w:val="BodyText"/>
      </w:pPr>
      <w:r>
        <w:t xml:space="preserve">A diferencia del declive tendencial que muestra la tasa de crecimiento del producto y de la inversión a partir de la década de los setenta, el comercio mantuvo hasta el inicio de la Crisis Global Financiera (2007-2009) un elevado dinamismo. No obstante desde entonces también ha mostrado señales de desaceleración. La evidencia disponible desde 1990 hasta 2016 muestra que la tasa de crecimiento del comercio a nivel mundial pasó, en promedio, de 7.3% en la década de los noventa a 4.5% en los 2000.</w:t>
      </w:r>
    </w:p>
    <w:p>
      <w:pPr>
        <w:pStyle w:val="BodyText"/>
      </w:pPr>
      <w:r>
        <w:t xml:space="preserve">La desaceleración del comercio afecta sobre todo a las economías avanzadas y en menor medida al mundo en desarrollo. En su conjunto las exportaciones para las economías industrializadas han disminuido en promedio de 6%-7% en la década de los 90 a menos de 4% en la década de los 2000. La desaceleración del comercio afecta con una intensidad similar a la mayor parte de las economías avanzadas.</w:t>
      </w:r>
    </w:p>
    <w:p>
      <w:pPr>
        <w:pStyle w:val="BodyText"/>
      </w:pPr>
      <w:r>
        <w:t xml:space="preserve">Contrariamente, en el caso de las economías en desarrollo la intensidad de la desaceleración es heterogénea. La desaceleración del comercio se concentra en América Latina y el Caribe y África y Medio Oriente más que en Asia (me falta el dato de Europa del Este y Asia Central) (Cuadro 5)</w:t>
      </w:r>
    </w:p>
    <w:p>
      <w:pPr>
        <w:pStyle w:val="TableCaption"/>
      </w:pPr>
      <w:r>
        <w:t xml:space="preserve">Crecimiento de las exportaciones, regiones seleccionadas</w:t>
      </w:r>
    </w:p>
    <w:tbl>
      <w:tblPr>
        <w:tblStyle w:val="TableNormal"/>
        <w:tblW w:type="pct" w:w="0.0"/>
        <w:tblLook w:firstRow="1"/>
        <w:tblCaption w:val="Crecimiento de las exportaciones, regiones seleccionada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Comercio mundial</w:t>
            </w:r>
          </w:p>
        </w:tc>
        <w:tc>
          <w:p>
            <w:pPr>
              <w:pStyle w:val="Compact"/>
              <w:jc w:val="right"/>
            </w:pPr>
            <w:r>
              <w:t xml:space="preserve">6.9</w:t>
            </w:r>
          </w:p>
        </w:tc>
        <w:tc>
          <w:p>
            <w:pPr>
              <w:pStyle w:val="Compact"/>
              <w:jc w:val="right"/>
            </w:pPr>
            <w:r>
              <w:t xml:space="preserve">7.7</w:t>
            </w:r>
          </w:p>
        </w:tc>
        <w:tc>
          <w:p>
            <w:pPr>
              <w:pStyle w:val="Compact"/>
              <w:jc w:val="right"/>
            </w:pPr>
            <w:r>
              <w:t xml:space="preserve">6.6</w:t>
            </w:r>
          </w:p>
        </w:tc>
        <w:tc>
          <w:p>
            <w:pPr>
              <w:pStyle w:val="Compact"/>
              <w:jc w:val="right"/>
            </w:pPr>
            <w:r>
              <w:t xml:space="preserve">2.7</w:t>
            </w:r>
          </w:p>
        </w:tc>
        <w:tc>
          <w:p>
            <w:pPr>
              <w:pStyle w:val="Compact"/>
              <w:jc w:val="right"/>
            </w:pPr>
            <w:r>
              <w:t xml:space="preserve">7.3</w:t>
            </w:r>
          </w:p>
        </w:tc>
        <w:tc>
          <w:p>
            <w:pPr>
              <w:pStyle w:val="Compact"/>
              <w:jc w:val="right"/>
            </w:pPr>
            <w:r>
              <w:t xml:space="preserve">4.5</w:t>
            </w:r>
          </w:p>
        </w:tc>
      </w:tr>
      <w:tr>
        <w:tc>
          <w:p>
            <w:pPr>
              <w:pStyle w:val="Compact"/>
              <w:jc w:val="left"/>
            </w:pPr>
            <w:r>
              <w:t xml:space="preserve">Exportaciones mundiales</w:t>
            </w:r>
          </w:p>
        </w:tc>
        <w:tc>
          <w:p>
            <w:pPr>
              <w:pStyle w:val="Compact"/>
              <w:jc w:val="right"/>
            </w:pPr>
            <w:r>
              <w:t xml:space="preserve">7.0</w:t>
            </w:r>
          </w:p>
        </w:tc>
        <w:tc>
          <w:p>
            <w:pPr>
              <w:pStyle w:val="Compact"/>
              <w:jc w:val="right"/>
            </w:pPr>
            <w:r>
              <w:t xml:space="preserve">7.4</w:t>
            </w:r>
          </w:p>
        </w:tc>
        <w:tc>
          <w:p>
            <w:pPr>
              <w:pStyle w:val="Compact"/>
              <w:jc w:val="right"/>
            </w:pPr>
            <w:r>
              <w:t xml:space="preserve">6.6</w:t>
            </w:r>
          </w:p>
        </w:tc>
        <w:tc>
          <w:p>
            <w:pPr>
              <w:pStyle w:val="Compact"/>
              <w:jc w:val="right"/>
            </w:pPr>
            <w:r>
              <w:t xml:space="preserve">2.8</w:t>
            </w:r>
          </w:p>
        </w:tc>
        <w:tc>
          <w:p>
            <w:pPr>
              <w:pStyle w:val="Compact"/>
              <w:jc w:val="right"/>
            </w:pPr>
            <w:r>
              <w:t xml:space="preserve">7.2</w:t>
            </w:r>
          </w:p>
        </w:tc>
        <w:tc>
          <w:p>
            <w:pPr>
              <w:pStyle w:val="Compact"/>
              <w:jc w:val="right"/>
            </w:pPr>
            <w:r>
              <w:t xml:space="preserve">4.5</w:t>
            </w:r>
          </w:p>
        </w:tc>
      </w:tr>
      <w:tr>
        <w:tc>
          <w:p>
            <w:pPr>
              <w:pStyle w:val="Compact"/>
              <w:jc w:val="left"/>
            </w:pPr>
            <w:r>
              <w:t xml:space="preserve">Economías avanzadas</w:t>
            </w:r>
          </w:p>
        </w:tc>
        <w:tc>
          <w:p>
            <w:pPr>
              <w:pStyle w:val="Compact"/>
              <w:jc w:val="right"/>
            </w:pPr>
            <w:r>
              <w:t xml:space="preserve">6.6</w:t>
            </w:r>
          </w:p>
        </w:tc>
        <w:tc>
          <w:p>
            <w:pPr>
              <w:pStyle w:val="Compact"/>
              <w:jc w:val="right"/>
            </w:pPr>
            <w:r>
              <w:t xml:space="preserve">7.6</w:t>
            </w:r>
          </w:p>
        </w:tc>
        <w:tc>
          <w:p>
            <w:pPr>
              <w:pStyle w:val="Compact"/>
              <w:jc w:val="right"/>
            </w:pPr>
            <w:r>
              <w:t xml:space="preserve">5.4</w:t>
            </w:r>
          </w:p>
        </w:tc>
        <w:tc>
          <w:p>
            <w:pPr>
              <w:pStyle w:val="Compact"/>
              <w:jc w:val="right"/>
            </w:pPr>
            <w:r>
              <w:t xml:space="preserve">1.9</w:t>
            </w:r>
          </w:p>
        </w:tc>
        <w:tc>
          <w:p>
            <w:pPr>
              <w:pStyle w:val="Compact"/>
              <w:jc w:val="right"/>
            </w:pPr>
            <w:r>
              <w:t xml:space="preserve">7.2</w:t>
            </w:r>
          </w:p>
        </w:tc>
        <w:tc>
          <w:p>
            <w:pPr>
              <w:pStyle w:val="Compact"/>
              <w:jc w:val="right"/>
            </w:pPr>
            <w:r>
              <w:t xml:space="preserve">3.8</w:t>
            </w:r>
          </w:p>
        </w:tc>
      </w:tr>
      <w:tr>
        <w:tc>
          <w:p>
            <w:pPr>
              <w:pStyle w:val="Compact"/>
              <w:jc w:val="left"/>
            </w:pPr>
            <w:r>
              <w:t xml:space="preserve">Estados Unidos</w:t>
            </w:r>
          </w:p>
        </w:tc>
        <w:tc>
          <w:p>
            <w:pPr>
              <w:pStyle w:val="Compact"/>
              <w:jc w:val="right"/>
            </w:pPr>
            <w:r>
              <w:t xml:space="preserve">7.3</w:t>
            </w:r>
          </w:p>
        </w:tc>
        <w:tc>
          <w:p>
            <w:pPr>
              <w:pStyle w:val="Compact"/>
              <w:jc w:val="right"/>
            </w:pPr>
            <w:r>
              <w:t xml:space="preserve">6.7</w:t>
            </w:r>
          </w:p>
        </w:tc>
        <w:tc>
          <w:p>
            <w:pPr>
              <w:pStyle w:val="Compact"/>
              <w:jc w:val="right"/>
            </w:pPr>
            <w:r>
              <w:t xml:space="preserve">3.9</w:t>
            </w:r>
          </w:p>
        </w:tc>
        <w:tc>
          <w:p>
            <w:pPr>
              <w:pStyle w:val="Compact"/>
              <w:jc w:val="right"/>
            </w:pPr>
            <w:r>
              <w:t xml:space="preserve">3.6</w:t>
            </w:r>
          </w:p>
        </w:tc>
        <w:tc>
          <w:p>
            <w:pPr>
              <w:pStyle w:val="Compact"/>
              <w:jc w:val="right"/>
            </w:pPr>
            <w:r>
              <w:t xml:space="preserve">6.9</w:t>
            </w:r>
          </w:p>
        </w:tc>
        <w:tc>
          <w:p>
            <w:pPr>
              <w:pStyle w:val="Compact"/>
              <w:jc w:val="right"/>
            </w:pPr>
            <w:r>
              <w:t xml:space="preserve">3.3</w:t>
            </w:r>
          </w:p>
        </w:tc>
      </w:tr>
      <w:tr>
        <w:tc>
          <w:p>
            <w:pPr>
              <w:pStyle w:val="Compact"/>
              <w:jc w:val="left"/>
            </w:pPr>
            <w:r>
              <w:t xml:space="preserve">América Latina y el Caribe</w:t>
            </w:r>
          </w:p>
        </w:tc>
        <w:tc>
          <w:p>
            <w:pPr>
              <w:pStyle w:val="Compact"/>
              <w:jc w:val="right"/>
            </w:pPr>
            <w:r>
              <w:t xml:space="preserve">9.9</w:t>
            </w:r>
          </w:p>
        </w:tc>
        <w:tc>
          <w:p>
            <w:pPr>
              <w:pStyle w:val="Compact"/>
              <w:jc w:val="right"/>
            </w:pPr>
            <w:r>
              <w:t xml:space="preserve">7.8</w:t>
            </w:r>
          </w:p>
        </w:tc>
        <w:tc>
          <w:p>
            <w:pPr>
              <w:pStyle w:val="Compact"/>
              <w:jc w:val="right"/>
            </w:pPr>
            <w:r>
              <w:t xml:space="preserve">4.9</w:t>
            </w:r>
          </w:p>
        </w:tc>
        <w:tc>
          <w:p>
            <w:pPr>
              <w:pStyle w:val="Compact"/>
              <w:jc w:val="right"/>
            </w:pPr>
            <w:r>
              <w:t xml:space="preserve">1.2</w:t>
            </w:r>
          </w:p>
        </w:tc>
        <w:tc>
          <w:p>
            <w:pPr>
              <w:pStyle w:val="Compact"/>
              <w:jc w:val="right"/>
            </w:pPr>
            <w:r>
              <w:t xml:space="preserve">8.7</w:t>
            </w:r>
          </w:p>
        </w:tc>
        <w:tc>
          <w:p>
            <w:pPr>
              <w:pStyle w:val="Compact"/>
              <w:jc w:val="right"/>
            </w:pPr>
            <w:r>
              <w:t xml:space="preserve">3.2</w:t>
            </w:r>
          </w:p>
        </w:tc>
      </w:tr>
      <w:tr>
        <w:tc>
          <w:p>
            <w:pPr>
              <w:pStyle w:val="Compact"/>
              <w:jc w:val="left"/>
            </w:pPr>
            <w:r>
              <w:t xml:space="preserve">Economías emergentes y en desarrollo</w:t>
            </w:r>
          </w:p>
        </w:tc>
        <w:tc>
          <w:p>
            <w:pPr>
              <w:pStyle w:val="Compact"/>
              <w:jc w:val="right"/>
            </w:pPr>
            <w:r>
              <w:t xml:space="preserve">9.0</w:t>
            </w:r>
          </w:p>
        </w:tc>
        <w:tc>
          <w:p>
            <w:pPr>
              <w:pStyle w:val="Compact"/>
              <w:jc w:val="right"/>
            </w:pPr>
            <w:r>
              <w:t xml:space="preserve">6.8</w:t>
            </w:r>
          </w:p>
        </w:tc>
        <w:tc>
          <w:p>
            <w:pPr>
              <w:pStyle w:val="Compact"/>
              <w:jc w:val="right"/>
            </w:pPr>
            <w:r>
              <w:t xml:space="preserve">10.0</w:t>
            </w:r>
          </w:p>
        </w:tc>
        <w:tc>
          <w:p>
            <w:pPr>
              <w:pStyle w:val="Compact"/>
              <w:jc w:val="right"/>
            </w:pPr>
            <w:r>
              <w:t xml:space="preserve">4.5</w:t>
            </w:r>
          </w:p>
        </w:tc>
        <w:tc>
          <w:p>
            <w:pPr>
              <w:pStyle w:val="Compact"/>
              <w:jc w:val="right"/>
            </w:pPr>
            <w:r>
              <w:t xml:space="preserve">7.8</w:t>
            </w:r>
          </w:p>
        </w:tc>
        <w:tc>
          <w:p>
            <w:pPr>
              <w:pStyle w:val="Compact"/>
              <w:jc w:val="right"/>
            </w:pPr>
            <w:r>
              <w:t xml:space="preserve">6.4</w:t>
            </w:r>
          </w:p>
        </w:tc>
      </w:tr>
      <w:tr>
        <w:tc>
          <w:p>
            <w:pPr>
              <w:pStyle w:val="Compact"/>
              <w:jc w:val="left"/>
            </w:pPr>
            <w:r>
              <w:t xml:space="preserve">Medio Oriente y Norte de África</w:t>
            </w:r>
          </w:p>
        </w:tc>
        <w:tc>
          <w:p>
            <w:pPr>
              <w:pStyle w:val="Compact"/>
              <w:jc w:val="right"/>
            </w:pPr>
            <w:r>
              <w:t xml:space="preserve">6.4</w:t>
            </w:r>
          </w:p>
        </w:tc>
        <w:tc>
          <w:p>
            <w:pPr>
              <w:pStyle w:val="Compact"/>
              <w:jc w:val="right"/>
            </w:pPr>
            <w:r>
              <w:t xml:space="preserve">3.2</w:t>
            </w:r>
          </w:p>
        </w:tc>
        <w:tc>
          <w:p>
            <w:pPr>
              <w:pStyle w:val="Compact"/>
              <w:jc w:val="right"/>
            </w:pPr>
            <w:r>
              <w:t xml:space="preserve">6.6</w:t>
            </w:r>
          </w:p>
        </w:tc>
        <w:tc>
          <w:p>
            <w:pPr>
              <w:pStyle w:val="Compact"/>
              <w:jc w:val="right"/>
            </w:pPr>
            <w:r>
              <w:t xml:space="preserve">3.4</w:t>
            </w:r>
          </w:p>
        </w:tc>
        <w:tc>
          <w:p>
            <w:pPr>
              <w:pStyle w:val="Compact"/>
              <w:jc w:val="right"/>
            </w:pPr>
            <w:r>
              <w:t xml:space="preserve">4.6</w:t>
            </w:r>
          </w:p>
        </w:tc>
        <w:tc>
          <w:p>
            <w:pPr>
              <w:pStyle w:val="Compact"/>
              <w:jc w:val="right"/>
            </w:pPr>
            <w:r>
              <w:t xml:space="preserve">4.9</w:t>
            </w:r>
          </w:p>
        </w:tc>
      </w:tr>
      <w:tr>
        <w:tc>
          <w:p>
            <w:pPr>
              <w:pStyle w:val="Compact"/>
              <w:jc w:val="left"/>
            </w:pPr>
            <w:r>
              <w:t xml:space="preserve">Asia emergente y en desarrollo</w:t>
            </w:r>
          </w:p>
        </w:tc>
        <w:tc>
          <w:p>
            <w:pPr>
              <w:pStyle w:val="Compact"/>
              <w:jc w:val="right"/>
            </w:pPr>
            <w:r>
              <w:t xml:space="preserve">13.4</w:t>
            </w:r>
          </w:p>
        </w:tc>
        <w:tc>
          <w:p>
            <w:pPr>
              <w:pStyle w:val="Compact"/>
              <w:jc w:val="right"/>
            </w:pPr>
            <w:r>
              <w:t xml:space="preserve">8.6</w:t>
            </w:r>
          </w:p>
        </w:tc>
        <w:tc>
          <w:p>
            <w:pPr>
              <w:pStyle w:val="Compact"/>
              <w:jc w:val="right"/>
            </w:pPr>
            <w:r>
              <w:t xml:space="preserve">15.0</w:t>
            </w:r>
          </w:p>
        </w:tc>
        <w:tc>
          <w:p>
            <w:pPr>
              <w:pStyle w:val="Compact"/>
              <w:jc w:val="right"/>
            </w:pPr>
            <w:r>
              <w:t xml:space="preserve">7.1</w:t>
            </w:r>
          </w:p>
        </w:tc>
        <w:tc>
          <w:p>
            <w:pPr>
              <w:pStyle w:val="Compact"/>
              <w:jc w:val="right"/>
            </w:pPr>
            <w:r>
              <w:t xml:space="preserve">10.7</w:t>
            </w:r>
          </w:p>
        </w:tc>
        <w:tc>
          <w:p>
            <w:pPr>
              <w:pStyle w:val="Compact"/>
              <w:jc w:val="right"/>
            </w:pPr>
            <w:r>
              <w:t xml:space="preserve">9.3</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w:t>
      </w:r>
    </w:p>
    <w:p>
      <w:pPr>
        <w:pStyle w:val="BodyText"/>
      </w:pPr>
      <w:r>
        <w:t xml:space="preserve">La evidencia disponible para el periodo 1990-2015 muestra que la elasticidad de largo plazo del índice de volumen de las exportaciones respecto a la producción industrial del mundo disminuyó de 2 entre 1991-2000 a 1.7 entre 2002-2008 a 1.0 entre el 2010 y el 2015 (Figura 7). A nivel regional se produce el mismo fenómeno. Las estimaciones para la elasticidad ingreso de las exportaciones de América Latina con respecto al ingreso de las economías avanzadas y Asia emergente también muestra una disminución en el periodo 1991-2015.</w:t>
      </w:r>
    </w:p>
    <w:p>
      <w:pPr>
        <w:pStyle w:val="BodyText"/>
      </w:pPr>
      <w:r>
        <w:t xml:space="preserve">Estimaciones de la descomposición de la elasticidad a nivel de grupos de producto muestra que la caída de la elasticidad se explica por la disminución de la elasticidad de manufacturas. La elasticidad de importaciones de largo plazo para las manufacturas disminuyó de 2.6 entre 1986-2000 a 0.8 para el periodo 2001-2013</w:t>
      </w:r>
      <w:r>
        <w:t xml:space="preserve"> </w:t>
      </w:r>
      <w:r>
        <w:rPr>
          <w:rStyle w:val="FootnoteReference"/>
        </w:rPr>
        <w:footnoteReference w:id="22"/>
      </w:r>
    </w:p>
    <w:p>
      <w:pPr>
        <w:pStyle w:val="BodyText"/>
      </w:pPr>
      <w:r>
        <w:t xml:space="preserve">Figura: Elasticidad largo plazo exportaciones mundiales a produccion industrial</w:t>
      </w:r>
      <w:r>
        <w:t xml:space="preserve"> </w:t>
      </w:r>
      <w:r>
        <w:drawing>
          <wp:inline>
            <wp:extent cx="5943600" cy="3338285"/>
            <wp:effectExtent b="0" l="0" r="0" t="0"/>
            <wp:docPr descr="Elasticidad de largo plazo de la exportaciones mundiales ante producción industrial" id="1" name="Picture"/>
            <a:graphic>
              <a:graphicData uri="http://schemas.openxmlformats.org/drawingml/2006/picture">
                <pic:pic>
                  <pic:nvPicPr>
                    <pic:cNvPr descr="elast_lp_expo_mund_prod.png" id="0" name="Picture"/>
                    <pic:cNvPicPr>
                      <a:picLocks noChangeArrowheads="1" noChangeAspect="1"/>
                    </pic:cNvPicPr>
                  </pic:nvPicPr>
                  <pic:blipFill>
                    <a:blip r:embed="rId23"/>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Figura: Elasticidad largo plazo exportaciones LAC a produccion industrial e EAs y Asia</w:t>
      </w:r>
      <w:r>
        <w:t xml:space="preserve"> </w:t>
      </w:r>
      <w:r>
        <w:drawing>
          <wp:inline>
            <wp:extent cx="5943600" cy="3585028"/>
            <wp:effectExtent b="0" l="0" r="0" t="0"/>
            <wp:docPr descr="Elasticidad largo plazo exportaciones LAC a produccion industrial e EAs y Asia" id="1" name="Picture"/>
            <a:graphic>
              <a:graphicData uri="http://schemas.openxmlformats.org/drawingml/2006/picture">
                <pic:pic>
                  <pic:nvPicPr>
                    <pic:cNvPr descr="elast_lp_lac_ae_asia.png" id="0" name="Picture"/>
                    <pic:cNvPicPr>
                      <a:picLocks noChangeArrowheads="1" noChangeAspect="1"/>
                    </pic:cNvPicPr>
                  </pic:nvPicPr>
                  <pic:blipFill>
                    <a:blip r:embed="rId24"/>
                    <a:stretch>
                      <a:fillRect/>
                    </a:stretch>
                  </pic:blipFill>
                  <pic:spPr bwMode="auto">
                    <a:xfrm>
                      <a:off x="0" y="0"/>
                      <a:ext cx="5943600" cy="3585028"/>
                    </a:xfrm>
                    <a:prstGeom prst="rect">
                      <a:avLst/>
                    </a:prstGeom>
                    <a:noFill/>
                    <a:ln w="9525">
                      <a:noFill/>
                      <a:headEnd/>
                      <a:tailEnd/>
                    </a:ln>
                  </pic:spPr>
                </pic:pic>
              </a:graphicData>
            </a:graphic>
          </wp:inline>
        </w:drawing>
      </w:r>
    </w:p>
    <w:p>
      <w:pPr>
        <w:pStyle w:val="BodyText"/>
      </w:pPr>
      <w:r>
        <w:t xml:space="preserve">La caída de la elasticidad del comercio con respecto al ingreso responde a dos conjuntos de factores. En primer lugar, cabe destacar el cambio en la composición de la demanda agregada mundial y los determinantes del crecimiento global. Los distintos componentes de la demanda agregada mundial tienen distintas intensidades comerciales. 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p>
    <w:p>
      <w:pPr>
        <w:pStyle w:val="BodyText"/>
      </w:pPr>
      <w:r>
        <w:t xml:space="preserve">En segundo lugar se ha producido una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 Una forma alternativa de medir esto es a través del crecimiento del comercio de bienes intermedios que según las últimas estimaciones disponibles se ha estancado (Figura xyz).</w:t>
      </w:r>
    </w:p>
    <w:p>
      <w:pPr>
        <w:pStyle w:val="BodyText"/>
      </w:pPr>
      <w:r>
        <w:t xml:space="preserve">Figura: Composión de las importaciones</w:t>
      </w:r>
      <w:r>
        <w:t xml:space="preserve"> </w:t>
      </w:r>
      <w:r>
        <w:drawing>
          <wp:inline>
            <wp:extent cx="5943600" cy="3338285"/>
            <wp:effectExtent b="0" l="0" r="0" t="0"/>
            <wp:docPr descr="composicion importaciones" id="1" name="Picture"/>
            <a:graphic>
              <a:graphicData uri="http://schemas.openxmlformats.org/drawingml/2006/picture">
                <pic:pic>
                  <pic:nvPicPr>
                    <pic:cNvPr descr="composicion_importanciones.png" id="0" name="Picture"/>
                    <pic:cNvPicPr>
                      <a:picLocks noChangeArrowheads="1" noChangeAspect="1"/>
                    </pic:cNvPicPr>
                  </pic:nvPicPr>
                  <pic:blipFill>
                    <a:blip r:embed="rId25"/>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Dado que la elasticidad de nuestras exportaciones ante cambios en el producto mundial no ha aumentado y que el crecimiento externo potencial se visto notablemente enlentecido, un aumento veloz del producto regional vía exportaciones, aparece como improbable en esta nueva normalidad.</w:t>
      </w:r>
    </w:p>
    <w:p>
      <w:pPr>
        <w:pStyle w:val="Heading4"/>
      </w:pPr>
      <w:bookmarkStart w:id="26" w:name="box-1.-determinantes-de-la-inversion-real-el-papel-de-los-beneficios"/>
      <w:bookmarkEnd w:id="26"/>
      <w:r>
        <w:t xml:space="preserve">Box 1. Determinantes de la inversión real: el papel de los beneficios</w:t>
      </w:r>
    </w:p>
    <w:p>
      <w:pPr>
        <w:pStyle w:val="FirstParagraph"/>
      </w:pPr>
      <w:r>
        <w:rPr>
          <w:b/>
        </w:rPr>
        <w:t xml:space="preserve">Por qué es tan débil la inversión?</w:t>
      </w:r>
    </w:p>
    <w:p>
      <w:pPr>
        <w:pStyle w:val="BodyText"/>
      </w:pPr>
      <w:r>
        <w:t xml:space="preserve">Banerjee, Kearns y Lombardi (2015, BIS Quarterly Review) ofrecen dos explicaciones</w:t>
      </w:r>
      <w:r>
        <w:t xml:space="preserve"> </w:t>
      </w:r>
      <w:r>
        <w:t xml:space="preserve">posibles para la debilidad que ha mostrado la inversión privada, a pesar de las bajas</w:t>
      </w:r>
      <w:r>
        <w:t xml:space="preserve"> </w:t>
      </w:r>
      <w:r>
        <w:t xml:space="preserve">tasas de interés y la amplia disponibilidad de fondos en los mercados de capitales.</w:t>
      </w:r>
      <w:r>
        <w:br w:type="textWrapping"/>
      </w:r>
      <w:r>
        <w:t xml:space="preserve">La primera explicación que consideran, tiene que ver con el descalce que se aprecia entre condiciones financieras favorables y oportunidades de inversión. En particular, es posible que las firmas que las firmas que tienen las mejores oportunidades de inversión no tengan los fondos propios suficientes para invertir o o su acceso a financiamiento externo esté muy restringido. Pero, a la luz del crecimiento sostenido del crédito y de la emisión accionaria, y considerando que las firmas pequeñas que son las que con mayor probabilidad enfrentan algún problema de financiamiento, explican una fracción muy menor de la inversión agregada, esta explicación presenta falencias importantes. Una</w:t>
      </w:r>
      <w:r>
        <w:t xml:space="preserve"> </w:t>
      </w:r>
      <w:r>
        <w:t xml:space="preserve">segunda y más plausible explicación es que las firmas, incluso teniendo suficientes fondos</w:t>
      </w:r>
      <w:r>
        <w:t xml:space="preserve"> </w:t>
      </w:r>
      <w:r>
        <w:t xml:space="preserve">para invertir, enfrentan, desde su perspectiva, demasiada incertidumbre acerca de las</w:t>
      </w:r>
      <w:r>
        <w:t xml:space="preserve"> </w:t>
      </w:r>
      <w:r>
        <w:t xml:space="preserve">condiciones economicas futuras y por lo tanto sobre si los posibles retornos justificarían el</w:t>
      </w:r>
      <w:r>
        <w:t xml:space="preserve"> </w:t>
      </w:r>
      <w:r>
        <w:t xml:space="preserve">costo de invertir. En una variante fuerte, esta segunda explicación implicaría que las condicioes</w:t>
      </w:r>
      <w:r>
        <w:t xml:space="preserve"> </w:t>
      </w:r>
      <w:r>
        <w:t xml:space="preserve">financiamiento a bajo costo y de fácil acceso no son el determinante clave de la inversión.</w:t>
      </w:r>
    </w:p>
    <w:p>
      <w:pPr>
        <w:pStyle w:val="BodyText"/>
      </w:pPr>
      <w:r>
        <w:t xml:space="preserve">En efecto, aunque no hay medidas directas de los retornos esperados, Banerjee, Kearns y Lombardi encuentran que varias proxies de esta variable --basadas en retornos ex post, en contenidos y frecuencia de noticias sobre la incertidumbre y en la dispersión de las predicciones económicas-- apuntan a que el choque de incertidumbre que trajo consigo la crisis financiera global, ha mantenido la incertidumbre en niveles más altos que previo al 2008, por lo que los retornos ajustados por riesgos están por debajo de lo que las firmas estimarían en tiempos normales.</w:t>
      </w:r>
    </w:p>
    <w:p>
      <w:pPr>
        <w:pStyle w:val="BodyText"/>
      </w:pPr>
      <w:r>
        <w:rPr>
          <w:b/>
        </w:rPr>
        <w:t xml:space="preserve">fin de Por qué es tan débil la inversión</w:t>
      </w:r>
    </w:p>
    <w:p>
      <w:pPr>
        <w:pStyle w:val="BodyText"/>
      </w:pPr>
      <w:r>
        <w:t xml:space="preserve">Este ejercicio empírico estima el impacto de distintas variables macro-económicas sobre la inversión en Estados Unidos, Francia y Canadá, utilizando vectores auto-regresivos estructurales sobre datos trimestrales expresados en logaritmo</w:t>
      </w:r>
      <w:r>
        <w:t xml:space="preserve"> </w:t>
      </w:r>
      <w:r>
        <w:rPr>
          <w:rStyle w:val="FootnoteReference"/>
        </w:rPr>
        <w:footnoteReference w:id="27"/>
      </w:r>
      <w:r>
        <w:t xml:space="preserve"> </w:t>
      </w:r>
      <w: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w:t>
      </w:r>
    </w:p>
    <w:p>
      <w:pPr>
        <w:pStyle w:val="BodyText"/>
      </w:pPr>
      <w:r>
        <w:t xml:space="preserve">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artículo de Banjeree et. al (2015), mientras que las otras dos (Tasa de política monetaria (TPM) – Tasa de interés interbancaria para el caso de Francia – e importación de bienes de capital (Imports)) son adiciones de la presente estimación. Para Estados Unidos, estas dos últimas fueron obtenidas del International Finance Statistics (IMF) y el Federal Reserve Bank of St. Louis</w:t>
      </w:r>
      <w:r>
        <w:t xml:space="preserve"> </w:t>
      </w:r>
      <w:r>
        <w:rPr>
          <w:rStyle w:val="FootnoteReference"/>
        </w:rPr>
        <w:footnoteReference w:id="28"/>
      </w:r>
      <w:r>
        <w:t xml:space="preserve"> </w:t>
      </w:r>
      <w:r>
        <w:t xml:space="preserve">, respectivamente. Para Canadá, la importación de bienes de capital se construyó consultando a Statistics Canada</w:t>
      </w:r>
      <w:r>
        <w:t xml:space="preserve"> </w:t>
      </w:r>
      <w:r>
        <w:rPr>
          <w:rStyle w:val="FootnoteReference"/>
        </w:rPr>
        <w:footnoteReference w:id="29"/>
      </w:r>
      <w:r>
        <w:t xml:space="preserve"> </w:t>
      </w:r>
      <w:r>
        <w:t xml:space="preserve">, y para Francia, la Federal Reserve Bank of St. Louis (FRED) y Eurostat</w:t>
      </w:r>
      <w:r>
        <w:t xml:space="preserve"> </w:t>
      </w:r>
      <w:r>
        <w:rPr>
          <w:rStyle w:val="FootnoteReference"/>
        </w:rPr>
        <w:footnoteReference w:id="30"/>
      </w:r>
      <w:r>
        <w:t xml:space="preserve"> </w:t>
      </w:r>
      <w:r>
        <w:t xml:space="preserve">se utilizaron como fuentes para ambas variables.</w:t>
      </w:r>
    </w:p>
    <w:p>
      <w:pPr>
        <w:pStyle w:val="BodyText"/>
      </w:pPr>
      <w:r>
        <w:t xml:space="preserve">Guiándonos por las funciones de impulso-respuesta, encontramos –para los tres países analizados-- un impacto positivo de las utilidades sobre el nivel de inversión.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t xml:space="preserve"> </w:t>
      </w:r>
      <w:r>
        <w:rPr>
          <w:rStyle w:val="FootnoteReference"/>
        </w:rPr>
        <w:footnoteReference w:id="31"/>
      </w:r>
      <w:r>
        <w:t xml:space="preserve"> </w:t>
      </w:r>
      <w:r>
        <w:t xml:space="preserve">.</w:t>
      </w:r>
    </w:p>
    <w:p>
      <w:pPr>
        <w:pStyle w:val="BodyText"/>
      </w:pPr>
      <w:r>
        <w:t xml:space="preserve">Finalmente, encontramos un efecto negativo de los choques a las importaciones de bienes de capital sobre la inversión para el caso de Estados Unidos y Francia, pero positivo para Canadá.</w:t>
      </w:r>
    </w:p>
    <w:p>
      <w:pPr>
        <w:pStyle w:val="BodyText"/>
      </w:pPr>
      <w:r>
        <w:t xml:space="preserve">En cuanto a la relación entre inversión y beneficios a largo plazo, observamos que el modelo de vector de corrección de errores nos entrega una relación de causalidad temporal unidireccional, desde beneficios hacia inversión para Estados Unidos, mientras que para el caso de Francia y Canadá la relación causal de largo plazo es inversa: esta va de inversión a beneficios.</w:t>
      </w:r>
    </w:p>
    <w:p>
      <w:pPr>
        <w:pStyle w:val="BodyText"/>
      </w:pPr>
      <w:r>
        <w:t xml:space="preserve">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p>
    <w:p>
      <w:pPr>
        <w:pStyle w:val="BodyText"/>
      </w:pPr>
      <w:r>
        <w:t xml:space="preserve">USA: Funciones Impulso-Respuesta</w:t>
      </w:r>
      <w:r>
        <w:t xml:space="preserve"> </w:t>
      </w:r>
      <w:r>
        <w:drawing>
          <wp:inline>
            <wp:extent cx="5943600" cy="3523853"/>
            <wp:effectExtent b="0" l="0" r="0" t="0"/>
            <wp:docPr descr="IRF USA investment" id="1" name="Picture"/>
            <a:graphic>
              <a:graphicData uri="http://schemas.openxmlformats.org/drawingml/2006/picture">
                <pic:pic>
                  <pic:nvPicPr>
                    <pic:cNvPr descr="irf_usa.png" id="0" name="Picture"/>
                    <pic:cNvPicPr>
                      <a:picLocks noChangeArrowheads="1" noChangeAspect="1"/>
                    </pic:cNvPicPr>
                  </pic:nvPicPr>
                  <pic:blipFill>
                    <a:blip r:embed="rId32"/>
                    <a:stretch>
                      <a:fillRect/>
                    </a:stretch>
                  </pic:blipFill>
                  <pic:spPr bwMode="auto">
                    <a:xfrm>
                      <a:off x="0" y="0"/>
                      <a:ext cx="5943600" cy="3523853"/>
                    </a:xfrm>
                    <a:prstGeom prst="rect">
                      <a:avLst/>
                    </a:prstGeom>
                    <a:noFill/>
                    <a:ln w="9525">
                      <a:noFill/>
                      <a:headEnd/>
                      <a:tailEnd/>
                    </a:ln>
                  </pic:spPr>
                </pic:pic>
              </a:graphicData>
            </a:graphic>
          </wp:inline>
        </w:drawing>
      </w:r>
    </w:p>
    <w:p>
      <w:pPr>
        <w:pStyle w:val="BodyText"/>
      </w:pPr>
      <w:r>
        <w:t xml:space="preserve">Canadá: Funciones Impulso-Respuesta</w:t>
      </w:r>
      <w:r>
        <w:t xml:space="preserve"> </w:t>
      </w:r>
      <w:r>
        <w:drawing>
          <wp:inline>
            <wp:extent cx="5943600" cy="3415506"/>
            <wp:effectExtent b="0" l="0" r="0" t="0"/>
            <wp:docPr descr="IRF Canada investment" id="1" name="Picture"/>
            <a:graphic>
              <a:graphicData uri="http://schemas.openxmlformats.org/drawingml/2006/picture">
                <pic:pic>
                  <pic:nvPicPr>
                    <pic:cNvPr descr="irf_canada.png" id="0" name="Picture"/>
                    <pic:cNvPicPr>
                      <a:picLocks noChangeArrowheads="1" noChangeAspect="1"/>
                    </pic:cNvPicPr>
                  </pic:nvPicPr>
                  <pic:blipFill>
                    <a:blip r:embed="rId33"/>
                    <a:stretch>
                      <a:fillRect/>
                    </a:stretch>
                  </pic:blipFill>
                  <pic:spPr bwMode="auto">
                    <a:xfrm>
                      <a:off x="0" y="0"/>
                      <a:ext cx="5943600" cy="3415506"/>
                    </a:xfrm>
                    <a:prstGeom prst="rect">
                      <a:avLst/>
                    </a:prstGeom>
                    <a:noFill/>
                    <a:ln w="9525">
                      <a:noFill/>
                      <a:headEnd/>
                      <a:tailEnd/>
                    </a:ln>
                  </pic:spPr>
                </pic:pic>
              </a:graphicData>
            </a:graphic>
          </wp:inline>
        </w:drawing>
      </w:r>
    </w:p>
    <w:p>
      <w:pPr>
        <w:pStyle w:val="BodyText"/>
      </w:pPr>
      <w:r>
        <w:t xml:space="preserve">Francia: Funciones Impulso-Respuesta</w:t>
      </w:r>
      <w:r>
        <w:t xml:space="preserve"> </w:t>
      </w:r>
      <w:r>
        <w:drawing>
          <wp:inline>
            <wp:extent cx="5943600" cy="3343275"/>
            <wp:effectExtent b="0" l="0" r="0" t="0"/>
            <wp:docPr descr="IRF Francia investment usa" id="1" name="Picture"/>
            <a:graphic>
              <a:graphicData uri="http://schemas.openxmlformats.org/drawingml/2006/picture">
                <pic:pic>
                  <pic:nvPicPr>
                    <pic:cNvPr descr="irf_francia.pn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USA: Tasas de crecimiento de la iversión y de los beneficios</w:t>
      </w:r>
      <w:r>
        <w:t xml:space="preserve"> </w:t>
      </w:r>
      <w:r>
        <w:drawing>
          <wp:inline>
            <wp:extent cx="5943600" cy="3343275"/>
            <wp:effectExtent b="0" l="0" r="0" t="0"/>
            <wp:docPr descr="inversion beneficios crecimiento usa" id="1" name="Picture"/>
            <a:graphic>
              <a:graphicData uri="http://schemas.openxmlformats.org/drawingml/2006/picture">
                <pic:pic>
                  <pic:nvPicPr>
                    <pic:cNvPr descr="beneficios_inversion_usa.pn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Canadá: Tasas de crecimiento de la iversión y de los beneficios</w:t>
      </w:r>
      <w:r>
        <w:t xml:space="preserve"> </w:t>
      </w:r>
      <w:r>
        <w:drawing>
          <wp:inline>
            <wp:extent cx="5943600" cy="3343275"/>
            <wp:effectExtent b="0" l="0" r="0" t="0"/>
            <wp:docPr descr="inversion beneficios crecimiento canada" id="1" name="Picture"/>
            <a:graphic>
              <a:graphicData uri="http://schemas.openxmlformats.org/drawingml/2006/picture">
                <pic:pic>
                  <pic:nvPicPr>
                    <pic:cNvPr descr="beneficios_inversion_canada.pn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Francia: Tasas de crecimiento de la iversión y de los beneficios</w:t>
      </w:r>
      <w:r>
        <w:t xml:space="preserve"> </w:t>
      </w:r>
      <w:r>
        <w:drawing>
          <wp:inline>
            <wp:extent cx="5943600" cy="3343275"/>
            <wp:effectExtent b="0" l="0" r="0" t="0"/>
            <wp:docPr descr="inversion beneficios crecimiento francia" id="1" name="Picture"/>
            <a:graphic>
              <a:graphicData uri="http://schemas.openxmlformats.org/drawingml/2006/picture">
                <pic:pic>
                  <pic:nvPicPr>
                    <pic:cNvPr descr="beneficios_inversion_francia.pn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TableCaption"/>
      </w:pPr>
      <w:r>
        <w:t xml:space="preserve">Correlación entre cambios en la inversión y cambios en beneficios</w:t>
      </w:r>
    </w:p>
    <w:tbl>
      <w:tblPr>
        <w:tblStyle w:val="TableNormal"/>
        <w:tblW w:type="pct" w:w="0.0"/>
        <w:tblLook w:firstRow="1"/>
        <w:tblCaption w:val="Correlación entre cambios en la inversión y cambios en beneficio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Estados Unidos</w:t>
            </w:r>
          </w:p>
        </w:tc>
        <w:tc>
          <w:tcPr>
            <w:tcBorders>
              <w:bottom w:val="single"/>
            </w:tcBorders>
            <w:vAlign w:val="bottom"/>
          </w:tcPr>
          <w:p>
            <w:pPr>
              <w:pStyle w:val="Compact"/>
              <w:jc w:val="right"/>
            </w:pPr>
            <w:r>
              <w:t xml:space="preserve">Canadá</w:t>
            </w:r>
          </w:p>
        </w:tc>
        <w:tc>
          <w:tcPr>
            <w:tcBorders>
              <w:bottom w:val="single"/>
            </w:tcBorders>
            <w:vAlign w:val="bottom"/>
          </w:tcPr>
          <w:p>
            <w:pPr>
              <w:pStyle w:val="Compact"/>
              <w:jc w:val="right"/>
            </w:pPr>
            <w:r>
              <w:t xml:space="preserve">Francia</w:t>
            </w:r>
          </w:p>
        </w:tc>
      </w:tr>
      <w:tr>
        <w:tc>
          <w:p>
            <w:pPr>
              <w:pStyle w:val="Compact"/>
              <w:jc w:val="left"/>
            </w:pPr>
            <w:r>
              <w:t xml:space="preserve">crecimiento inversión vs. crecimiento beneficios</w:t>
            </w:r>
          </w:p>
        </w:tc>
        <w:tc>
          <w:p>
            <w:pPr>
              <w:pStyle w:val="Compact"/>
              <w:jc w:val="right"/>
            </w:pPr>
            <w:r>
              <w:t xml:space="preserve">0.28</w:t>
            </w:r>
          </w:p>
        </w:tc>
        <w:tc>
          <w:p>
            <w:pPr>
              <w:pStyle w:val="Compact"/>
              <w:jc w:val="right"/>
            </w:pPr>
            <w:r>
              <w:t xml:space="preserve">0.41</w:t>
            </w:r>
          </w:p>
        </w:tc>
        <w:tc>
          <w:p>
            <w:pPr>
              <w:pStyle w:val="Compact"/>
              <w:jc w:val="right"/>
            </w:pPr>
            <w:r>
              <w:t xml:space="preserve">0.73</w:t>
            </w:r>
          </w:p>
        </w:tc>
      </w:tr>
    </w:tbl>
    <w:p>
      <w:pPr>
        <w:pStyle w:val="BodyText"/>
      </w:pPr>
      <w:r>
        <w:rPr>
          <w:b/>
        </w:rPr>
        <w:t xml:space="preserve">Note:</w:t>
      </w:r>
      <w:r>
        <w:t xml:space="preserve"> </w:t>
      </w:r>
      <w:r>
        <w:rPr>
          <w:vertAlign w:val="superscript"/>
        </w:rPr>
        <w:t xml:space="preserve">a</w:t>
      </w:r>
      <w:r>
        <w:t xml:space="preserve"> </w:t>
      </w:r>
      <w:r>
        <w:t xml:space="preserve">Fuente: fuente XYZ y perído ABC (está en el texto)</w:t>
      </w:r>
    </w:p>
    <w:p>
      <w:pPr>
        <w:pStyle w:val="Heading2"/>
      </w:pPr>
      <w:bookmarkStart w:id="38" w:name="mecansimos-de-transmision-hacia-la-region-y-el-papel-de-la-estructura-productiva"/>
      <w:bookmarkEnd w:id="38"/>
      <w:r>
        <w:t xml:space="preserve">Mecansimos de transmisión hacia la región y el papel de la estructura productiva</w:t>
      </w:r>
    </w:p>
    <w:p>
      <w:pPr>
        <w:pStyle w:val="FirstParagraph"/>
      </w:pPr>
      <w:r>
        <w:t xml:space="preserve">Este nuevo contexto ha incidido en el desempeño de la región esencialmente a través de canales ligados a variables reales como las exportaciones y los términos de intercambio, repercutiendo además en la distribución del ingreso. Estas variables que son parte de la estructura productiva de cada economía, están heterogénemente conformadas dentro de la región por los que los efectos del cambio de escenario internacional han sido consecuentemete heterogéneos. Por ejemplo, los países que exportan mayoritariamente manufacturas y tienen como principal socio comercial a Estados Unidos, han experimentado un shock de demanda externa menor y se han desacelerado relativamente poco porque, como vimos en la sección anterior, su recesión ha sido menos intensa que la experimentada por la zona del Euro y el cambio de tendencia en sus importaciones ha sido menos brusca que en China. Esto ayuda a explicar que la performance promedio de América Central y México sea mejor a la de América del Sur, ya sea en niveles o experimentando menores deterioros. La tasa promedio de crecimiento de los PIB tendenciales, por ejemplo, ha caído muy poco en México y América Central (de 3,6% en 2003-2008 a 3,4% en 2010-2016) y bastante más en América del Sur (de 4,2% a 2,3% en iguales períodos), inviertiendo de paso el ranking de crecimiento tendencial entre ambas.</w:t>
      </w:r>
    </w:p>
    <w:p>
      <w:pPr>
        <w:pStyle w:val="TableCaption"/>
      </w:pPr>
      <w:r>
        <w:t xml:space="preserve">Tasas de crecimiento en LAC-18 (% anual del PIB tendencial)</w:t>
      </w:r>
    </w:p>
    <w:tbl>
      <w:tblPr>
        <w:tblStyle w:val="TableNormal"/>
        <w:tblW w:type="pct" w:w="0.0"/>
        <w:tblLook w:firstRow="1"/>
        <w:tblCaption w:val="Tasas de crecimiento en LAC-18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LAC-18</w:t>
            </w:r>
          </w:p>
        </w:tc>
        <w:tc>
          <w:p>
            <w:pPr>
              <w:pStyle w:val="Compact"/>
              <w:jc w:val="center"/>
            </w:pPr>
            <w:r>
              <w:t xml:space="preserve">3.9</w:t>
            </w:r>
          </w:p>
        </w:tc>
        <w:tc>
          <w:p>
            <w:pPr>
              <w:pStyle w:val="Compact"/>
              <w:jc w:val="center"/>
            </w:pPr>
            <w:r>
              <w:t xml:space="preserve">2.8</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w:t>
            </w:r>
          </w:p>
        </w:tc>
        <w:tc>
          <w:p>
            <w:pPr>
              <w:pStyle w:val="Compact"/>
              <w:jc w:val="center"/>
            </w:pPr>
            <w:r>
              <w:t xml:space="preserve">4.2</w:t>
            </w:r>
          </w:p>
        </w:tc>
        <w:tc>
          <w:p>
            <w:pPr>
              <w:pStyle w:val="Compact"/>
              <w:jc w:val="center"/>
            </w:pPr>
            <w:r>
              <w:t xml:space="preserve">2.3</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El impacto diferenciado del choque de demanda externa se evidencia en las trayectorias de las exportaciones y de los términos de intercambio al interior de la región. En el caso de las exportaciones, los únicos países que lograron acelerar sus exportaciones en este nuevo período son México, la República Dominicana y Honduras, todos países que exportan la mitad o más de su bienes y servicios a Estados Unidos e incluyen entre sus productos principales manufacturas e insumos industriales. Si bien otras economías de similares características sí se desaceleraron (Guatemala, El Salvador, Costa Rica y Panamá), lo hicieron menos que las economías de América del Sur. La excepción sudamericana la constituye Bolivia, pero sus socios comerciales son en primer lugar Brasil y Argentina y no China y Europa.</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Euro area</w:t>
            </w:r>
          </w:p>
        </w:tc>
        <w:tc>
          <w:p>
            <w:pPr>
              <w:pStyle w:val="Compact"/>
              <w:jc w:val="right"/>
            </w:pPr>
            <w:r>
              <w:t xml:space="preserve">5.3</w:t>
            </w:r>
          </w:p>
        </w:tc>
        <w:tc>
          <w:p>
            <w:pPr>
              <w:pStyle w:val="Compact"/>
              <w:jc w:val="right"/>
            </w:pPr>
            <w:r>
              <w:t xml:space="preserve">4.1</w:t>
            </w:r>
          </w:p>
        </w:tc>
        <w:tc>
          <w:p>
            <w:pPr>
              <w:pStyle w:val="Compact"/>
              <w:jc w:val="right"/>
            </w:pPr>
            <w:r>
              <w:t xml:space="preserve">-1.3</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Crecimiento de las exportacioens, LAC-18 (w.o. NIC) y subregiones</w:t>
      </w:r>
    </w:p>
    <w:tbl>
      <w:tblPr>
        <w:tblStyle w:val="TableNormal"/>
        <w:tblW w:type="pct" w:w="0.0"/>
        <w:tblLook w:firstRow="1"/>
        <w:tblCaption w:val="Crecimiento de las exportacioens, LAC-18 (w.o. NIC) y subregion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LAC-18_notnic</w:t>
            </w:r>
          </w:p>
        </w:tc>
        <w:tc>
          <w:p>
            <w:pPr>
              <w:pStyle w:val="Compact"/>
              <w:jc w:val="right"/>
            </w:pPr>
            <w:r>
              <w:t xml:space="preserve">8.9</w:t>
            </w:r>
          </w:p>
        </w:tc>
        <w:tc>
          <w:p>
            <w:pPr>
              <w:pStyle w:val="Compact"/>
              <w:jc w:val="right"/>
            </w:pPr>
            <w:r>
              <w:t xml:space="preserve">5.8</w:t>
            </w:r>
          </w:p>
        </w:tc>
        <w:tc>
          <w:p>
            <w:pPr>
              <w:pStyle w:val="Compact"/>
              <w:jc w:val="right"/>
            </w:pPr>
            <w:r>
              <w:t xml:space="preserve">4.9</w:t>
            </w:r>
          </w:p>
        </w:tc>
        <w:tc>
          <w:p>
            <w:pPr>
              <w:pStyle w:val="Compact"/>
              <w:jc w:val="right"/>
            </w:pPr>
            <w:r>
              <w:t xml:space="preserve">2.8</w:t>
            </w:r>
          </w:p>
        </w:tc>
        <w:tc>
          <w:p>
            <w:pPr>
              <w:pStyle w:val="Compact"/>
              <w:jc w:val="right"/>
            </w:pPr>
            <w:r>
              <w:t xml:space="preserve">7.2</w:t>
            </w:r>
          </w:p>
        </w:tc>
        <w:tc>
          <w:p>
            <w:pPr>
              <w:pStyle w:val="Compact"/>
              <w:jc w:val="right"/>
            </w:pPr>
            <w:r>
              <w:t xml:space="preserve">3.5</w:t>
            </w:r>
          </w:p>
        </w:tc>
      </w:tr>
      <w:tr>
        <w:tc>
          <w:p>
            <w:pPr>
              <w:pStyle w:val="Compact"/>
              <w:jc w:val="left"/>
            </w:pPr>
            <w:r>
              <w:t xml:space="preserve">CARDM_notNic</w:t>
            </w:r>
          </w:p>
        </w:tc>
        <w:tc>
          <w:p>
            <w:pPr>
              <w:pStyle w:val="Compact"/>
              <w:jc w:val="right"/>
            </w:pPr>
            <w:r>
              <w:t xml:space="preserve">8.3</w:t>
            </w:r>
          </w:p>
        </w:tc>
        <w:tc>
          <w:p>
            <w:pPr>
              <w:pStyle w:val="Compact"/>
              <w:jc w:val="right"/>
            </w:pPr>
            <w:r>
              <w:t xml:space="preserve">7.9</w:t>
            </w:r>
          </w:p>
        </w:tc>
        <w:tc>
          <w:p>
            <w:pPr>
              <w:pStyle w:val="Compact"/>
              <w:jc w:val="right"/>
            </w:pPr>
            <w:r>
              <w:t xml:space="preserve">4.3</w:t>
            </w:r>
          </w:p>
        </w:tc>
        <w:tc>
          <w:p>
            <w:pPr>
              <w:pStyle w:val="Compact"/>
              <w:jc w:val="right"/>
            </w:pPr>
            <w:r>
              <w:t xml:space="preserve">3.5</w:t>
            </w:r>
          </w:p>
        </w:tc>
        <w:tc>
          <w:p>
            <w:pPr>
              <w:pStyle w:val="Compact"/>
              <w:jc w:val="right"/>
            </w:pPr>
            <w:r>
              <w:t xml:space="preserve">8.0</w:t>
            </w:r>
          </w:p>
        </w:tc>
        <w:tc>
          <w:p>
            <w:pPr>
              <w:pStyle w:val="Compact"/>
              <w:jc w:val="right"/>
            </w:pPr>
            <w:r>
              <w:t xml:space="preserve">4.3</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estructura productiva también ha determinado patrones disímiles en la evolución de los términos de intercambio: comparten una caída común el año 2009, producto de la fuerte caída de la demanda externa, pero mientras que para América Central y México los años previos a la crisis fueron de declive, para América Central fueron de fuerte crecimiento, y desde la crisis financiera los promedios de América Central y México son aproximadamente planos, en América del Sur es muy notorio el período de caida de los términos de intercambio a partir del año 2011, con la sola excepción de Uruguay y Paraguay.</w:t>
      </w:r>
    </w:p>
    <w:p>
      <w:pPr>
        <w:pStyle w:val="BodyText"/>
      </w:pPr>
      <w:r>
        <w:drawing>
          <wp:inline>
            <wp:extent cx="4620126" cy="3696101"/>
            <wp:effectExtent b="0" l="0" r="0" t="0"/>
            <wp:docPr descr="" id="1" name="Picture"/>
            <a:graphic>
              <a:graphicData uri="http://schemas.openxmlformats.org/drawingml/2006/picture">
                <pic:pic>
                  <pic:nvPicPr>
                    <pic:cNvPr descr="chapter_2_files/figure-docx/plot_index_x_sh_vs_gfcf-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hapter_2_files/figure-docx/plot_index_x_sh_vs_gfcf-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hapter_2_files/figure-docx/plot_index_x_sh_vs_t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hapter_2_files/figure-docx/plot_index_x_sh_vs_tot-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hapter_2_files/figure-docx/plot_index_x_sh_vs_nrflow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hapter_2_files/figure-docx/plot_index_x_sh_vs_nrflows-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hapter_2_files/figure-docx/plot_tot_wb-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hapter_2_files/figure-docx/plot_tot_wb-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Crecimiento del índice de términos de intercambio, por subregión</w:t>
      </w:r>
    </w:p>
    <w:tbl>
      <w:tblPr>
        <w:tblStyle w:val="TableNormal"/>
        <w:tblW w:type="pct" w:w="0.0"/>
        <w:tblLook w:firstRow="1"/>
        <w:tblCaption w:val="Crecimiento del índice de términos de intercambio, por subregión"/>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right"/>
            </w:pPr>
            <w:r>
              <w:t xml:space="preserve">2003-2011</w:t>
            </w:r>
          </w:p>
        </w:tc>
        <w:tc>
          <w:tcPr>
            <w:tcBorders>
              <w:bottom w:val="single"/>
            </w:tcBorders>
            <w:vAlign w:val="bottom"/>
          </w:tcPr>
          <w:p>
            <w:pPr>
              <w:pStyle w:val="Compact"/>
              <w:jc w:val="right"/>
            </w:pPr>
            <w:r>
              <w:t xml:space="preserve">2011-2015</w:t>
            </w:r>
          </w:p>
        </w:tc>
      </w:tr>
      <w:tr>
        <w:tc>
          <w:p>
            <w:pPr>
              <w:pStyle w:val="Compact"/>
              <w:jc w:val="left"/>
            </w:pPr>
            <w:r>
              <w:t xml:space="preserve">CARDM</w:t>
            </w:r>
          </w:p>
        </w:tc>
        <w:tc>
          <w:p>
            <w:pPr>
              <w:pStyle w:val="Compact"/>
              <w:jc w:val="right"/>
            </w:pPr>
            <w:r>
              <w:t xml:space="preserve">-0.6</w:t>
            </w:r>
          </w:p>
        </w:tc>
        <w:tc>
          <w:p>
            <w:pPr>
              <w:pStyle w:val="Compact"/>
              <w:jc w:val="right"/>
            </w:pPr>
            <w:r>
              <w:t xml:space="preserve">-0.1</w:t>
            </w:r>
          </w:p>
        </w:tc>
      </w:tr>
      <w:tr>
        <w:tc>
          <w:p>
            <w:pPr>
              <w:pStyle w:val="Compact"/>
              <w:jc w:val="left"/>
            </w:pPr>
            <w:r>
              <w:t xml:space="preserve">SA</w:t>
            </w:r>
          </w:p>
        </w:tc>
        <w:tc>
          <w:p>
            <w:pPr>
              <w:pStyle w:val="Compact"/>
              <w:jc w:val="right"/>
            </w:pPr>
            <w:r>
              <w:t xml:space="preserve">4.9</w:t>
            </w:r>
          </w:p>
        </w:tc>
        <w:tc>
          <w:p>
            <w:pPr>
              <w:pStyle w:val="Compact"/>
              <w:jc w:val="right"/>
            </w:pPr>
            <w:r>
              <w:t xml:space="preserve">-2.2</w:t>
            </w:r>
          </w:p>
        </w:tc>
      </w:tr>
    </w:tbl>
    <w:p>
      <w:pPr>
        <w:pStyle w:val="BodyText"/>
      </w:pPr>
      <w:r>
        <w:rPr>
          <w:b/>
        </w:rPr>
        <w:t xml:space="preserve">Note:</w:t>
      </w:r>
      <w:r>
        <w:t xml:space="preserve"> </w:t>
      </w:r>
      <w:r>
        <w:rPr>
          <w:vertAlign w:val="superscript"/>
        </w:rPr>
        <w:t xml:space="preserve">a</w:t>
      </w:r>
      <w:r>
        <w:t xml:space="preserve"> </w:t>
      </w:r>
      <w:r>
        <w:t xml:space="preserve">Fuente: CEPAL sobre datos UNCTAD y World Bank</w:t>
      </w:r>
    </w:p>
    <w:p>
      <w:pPr>
        <w:pStyle w:val="BodyText"/>
      </w:pPr>
      <w:r>
        <w:t xml:space="preserve">A la par con estos cambios en el sector real también se han registrado cambios significativos en la institucionalidad del sistema financiero lo cual ha generado cambios en los ciclos de liquidez a nivel mundial. Por un lado, los avances en la implementación de los acuerdos de tercera generación de Basilea, junto a los grandes buffers de reservas internacionales oficiales acumulados por las economías emergentes desde la década anterior, han influido en la mayor estabilidad a los flujos de capitales hacia las economías emergentes, permitiendo que los flujos de capital hacia y desde la región aumentaron notablemente su volumen y disminuyeron su volatilidad. En particular, en este nuevo período las reversiones súbitas de capital han sido prácticamente inexistentes (a excepcion de Colombia a fines del 2015), lo que constrasta fuertemente con las décadas anteriores a la crisis financiera global.</w:t>
      </w:r>
    </w:p>
    <w:p>
      <w:pPr>
        <w:pStyle w:val="TableCaption"/>
      </w:pPr>
      <w:r>
        <w:t xml:space="preserve">Gross Financial flows: Number of extreme episodos</w:t>
      </w:r>
    </w:p>
    <w:tbl>
      <w:tblPr>
        <w:tblStyle w:val="TableNormal"/>
        <w:tblW w:type="pct" w:w="0.0"/>
        <w:tblLook w:firstRow="1"/>
        <w:tblCaption w:val="Gross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Flights</w:t>
            </w:r>
          </w:p>
        </w:tc>
        <w:tc>
          <w:tcPr>
            <w:tcBorders>
              <w:bottom w:val="single"/>
            </w:tcBorders>
            <w:vAlign w:val="bottom"/>
          </w:tcPr>
          <w:p>
            <w:pPr>
              <w:pStyle w:val="Compact"/>
              <w:jc w:val="right"/>
            </w:pPr>
            <w:r>
              <w:t xml:space="preserve">Retrenchment</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19</w:t>
            </w:r>
          </w:p>
        </w:tc>
      </w:tr>
      <w:tr>
        <w:tc>
          <w:p>
            <w:pPr>
              <w:pStyle w:val="Compact"/>
              <w:jc w:val="left"/>
            </w:pPr>
            <w:r>
              <w:t xml:space="preserve">2000-2007</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17</w:t>
            </w:r>
          </w:p>
        </w:tc>
      </w:tr>
      <w:tr>
        <w:tc>
          <w:p>
            <w:pPr>
              <w:pStyle w:val="Compact"/>
              <w:jc w:val="left"/>
            </w:pPr>
            <w:r>
              <w:t xml:space="preserve">2008-2009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6</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BodyText"/>
      </w:pPr>
      <w:r>
        <w:t xml:space="preserve">En las figuras 5 y 6 la composición de los flujos (tanto brutos i.e. por no-residentes, como netos i.e. tanto por residentes como no residentes) es notoriamente más diversificada en este nuevo escenario respecto al período anterior, donde la IED era abrumadoramente mayoritaria. El único año pre-crisis financiera que se parece al nuevo escenario es el año 2007, donde la composición de gross inflows aparece más balanceada entre de cartera, directa y otra inversión (principalmente préstamos entre instituciones bancarias). Hay que notar, sin embargo, que los años 2015 y 2016 parecen desmarcarse de los anteriores, porque el volumen total de gross inflows a la región disminuye notablemente en el caso de cartera y otros, coincidiendo con la paulatina alza de las tasas de interés en Estados Unidos.</w:t>
      </w:r>
    </w:p>
    <w:p>
      <w:pPr>
        <w:pStyle w:val="BodyText"/>
      </w:pPr>
      <w:r>
        <w:t xml:space="preserve">Flujos netos y flujos brutos:</w:t>
      </w:r>
    </w:p>
    <w:p>
      <w:pPr>
        <w:pStyle w:val="BodyText"/>
      </w:pPr>
      <w:r>
        <w:drawing>
          <wp:inline>
            <wp:extent cx="4620126" cy="3696101"/>
            <wp:effectExtent b="0" l="0" r="0" t="0"/>
            <wp:docPr descr="" id="1" name="Picture"/>
            <a:graphic>
              <a:graphicData uri="http://schemas.openxmlformats.org/drawingml/2006/picture">
                <pic:pic>
                  <pic:nvPicPr>
                    <pic:cNvPr descr="chapter_2_files/figure-docx/plot_gross_inflows_by_type-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hapter_2_files/figure-docx/plot_net_inflows_by_typ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Capítulo I se discute el papel central del consumo como impulsor de la demanda en la región. Aquí podemos ver que esto ocurre en un contexto de rápido aumento del crédito al sector privado y de un aumento de los niveles de deuda de los hogares, especialmente en los casos de Brasil y Chile. Atendiendo a las diferencias subregionales, notemos que la reciente expansión del crédito es más marcado en América del Sur, con la excepción de Chile que se adelantó algunos años a sus vecinos y comenzó su rápida expansión del crédito en los 90s. Una vez más, el panorama para América Central y México es relativamente parecido antes y después de la crisis financiera (ver Cuadro, figura).</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1995-2008</w:t>
            </w:r>
          </w:p>
        </w:tc>
        <w:tc>
          <w:tcPr>
            <w:tcBorders>
              <w:bottom w:val="single"/>
            </w:tcBorders>
            <w:vAlign w:val="bottom"/>
          </w:tcPr>
          <w:p>
            <w:pPr>
              <w:pStyle w:val="Compact"/>
              <w:jc w:val="right"/>
            </w:pPr>
            <w:r>
              <w:t xml:space="preserve">2010-2015</w:t>
            </w:r>
          </w:p>
        </w:tc>
      </w:tr>
      <w:tr>
        <w:tc>
          <w:p>
            <w:pPr>
              <w:pStyle w:val="Compact"/>
              <w:jc w:val="left"/>
            </w:pPr>
            <w:r>
              <w:t xml:space="preserve">LAC-18</w:t>
            </w:r>
          </w:p>
        </w:tc>
        <w:tc>
          <w:p>
            <w:pPr>
              <w:pStyle w:val="Compact"/>
              <w:jc w:val="right"/>
            </w:pPr>
            <w:r>
              <w:t xml:space="preserve">2.0</w:t>
            </w:r>
          </w:p>
        </w:tc>
        <w:tc>
          <w:p>
            <w:pPr>
              <w:pStyle w:val="Compact"/>
              <w:jc w:val="right"/>
            </w:pPr>
            <w:r>
              <w:t xml:space="preserve">4.4</w:t>
            </w:r>
          </w:p>
        </w:tc>
      </w:tr>
      <w:tr>
        <w:tc>
          <w:p>
            <w:pPr>
              <w:pStyle w:val="Compact"/>
              <w:jc w:val="left"/>
            </w:pPr>
            <w:r>
              <w:t xml:space="preserve">CARDM</w:t>
            </w:r>
          </w:p>
        </w:tc>
        <w:tc>
          <w:p>
            <w:pPr>
              <w:pStyle w:val="Compact"/>
              <w:jc w:val="right"/>
            </w:pPr>
            <w:r>
              <w:t xml:space="preserve">3.4</w:t>
            </w:r>
          </w:p>
        </w:tc>
        <w:tc>
          <w:p>
            <w:pPr>
              <w:pStyle w:val="Compact"/>
              <w:jc w:val="right"/>
            </w:pPr>
            <w:r>
              <w:t xml:space="preserve">3.7</w:t>
            </w:r>
          </w:p>
        </w:tc>
      </w:tr>
      <w:tr>
        <w:tc>
          <w:p>
            <w:pPr>
              <w:pStyle w:val="Compact"/>
              <w:jc w:val="left"/>
            </w:pPr>
            <w:r>
              <w:t xml:space="preserve">SA</w:t>
            </w:r>
          </w:p>
        </w:tc>
        <w:tc>
          <w:p>
            <w:pPr>
              <w:pStyle w:val="Compact"/>
              <w:jc w:val="right"/>
            </w:pPr>
            <w:r>
              <w:t xml:space="preserve">0.9</w:t>
            </w:r>
          </w:p>
        </w:tc>
        <w:tc>
          <w:p>
            <w:pPr>
              <w:pStyle w:val="Compact"/>
              <w:jc w:val="right"/>
            </w:pPr>
            <w:r>
              <w:t xml:space="preserve">5.0</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t xml:space="preserve">Más allá de la pregunta por la tedencia del crédito, que puede reflejar una sana profundización fiananciera de la economía, surge la pregunta por los ciclos de crédito, que por un lado sirven para alertar sobre una futura fragilidad del sistema financiero y por otro para entender cuanto espacio disponible existe en el corto plazo para seguir alimentando la demanda por esta vía. La figura XYZ usa datos de brecha de crédito confeccionados por el BIS y ahí se puede apreciar cómo Brasil, Chile y México llegaron al 2007 con brechas negativas o neutras, lo que les daba una oportunidad de expandir rápidamente el crédito para navegar durante y después de la gran crisis financiera. Salvo Brasil, todos los países para los cuales están estos datos cuentan con menores holguras crediticias que las disponibles previo a la crisis.</w:t>
      </w:r>
    </w:p>
    <w:p>
      <w:pPr>
        <w:pStyle w:val="BodyText"/>
      </w:pPr>
      <w:r>
        <w:drawing>
          <wp:inline>
            <wp:extent cx="4620126" cy="3696101"/>
            <wp:effectExtent b="0" l="0" r="0" t="0"/>
            <wp:docPr descr="" id="1" name="Picture"/>
            <a:graphic>
              <a:graphicData uri="http://schemas.openxmlformats.org/drawingml/2006/picture">
                <pic:pic>
                  <pic:nvPicPr>
                    <pic:cNvPr descr="chapter_2_files/figure-docx/figure_credit_gap_lac_bis-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situación de la deuda de hogares refuerza, donde tenemos evidencia disponible, refuerza este mensaje: muestra elevados niveles de endeudamiento de los hogares en Chile y Brasil y una tendencia general al aumento que es compartida por México y Colombia, aunque en estos últimos los niveles de deuda son bastante más bajos. En Brasil (ver IMF 2016, Article IV Consultation) la deuda promedio de los hogares, como porcentaje de su ingreso disponible, se duplicó en diez años, desde 21% en el 2006 a 42% en el 2016, mientras que el servicio de la deuda del hogar promedio aumentó de 15% a 22% de su ingreso disponible. Aunque no hay de momento un fenómeno extendido de morosidad, si se anotó durante el 2016 un pequeño aumento en la cartera vencida de grupos específicos de deudores. En el caso de Chile, el Banco Central nota que en los últimos años el endeudamiento de los hogares ha aumentado moderada pero persistentemente, desde representar en promedio un 50% del ingreso disponible en el 2006 a un 65% en el 2016. El servicio promedio de la deuda se ha estabilizado en torno a un 15% del ingreso durante el mismo período, lo no ha generado mayores tensiones financieras, pero advierte que esta relativamente baja carga financiera está influída por las inusualmente bajas tasas de interés vigentes en el último lustro. En Colombia, la deuda promedio de los hogares, como porcentaje de su ingreso disponible, pasó de 28% a 32% en Colombia durante el 2015 y el servicio promedio de la deuda aumentó ligeramente de 9% a 9.5% del ingreso disponible. Para México, los datos disponibles señalan que en entre el 2010 y el 2015 la deuda promedio de los hogares pasó de representar un 18,4% del ingreso disponible a un 21,7%. En el 2016 no habían datos comparables, pero en términos de fracción del PIB la deuda de lso hogares, a Junio del 2016, había aumentado desde 15% a 16% (IMF country report 16/361, Fig 4a).</w:t>
      </w:r>
    </w:p>
    <w:p>
      <w:pPr>
        <w:pStyle w:val="BodyText"/>
      </w:pPr>
      <w:r>
        <w:t xml:space="preserve">Finalmente, la acumulación de capital fijo también responde a este fenómeo de pérdida de dinamismo con heterogeneidad acotada. En nuestra muestra una gran mayoría -- 13 de 18 países -- experimentaron una</w:t>
      </w:r>
      <w:r>
        <w:t xml:space="preserve"> </w:t>
      </w:r>
      <w:r>
        <w:t xml:space="preserve">desaceleración de la inversión real (medida por el gasto real en formación</w:t>
      </w:r>
      <w:r>
        <w:t xml:space="preserve"> </w:t>
      </w:r>
      <w:r>
        <w:t xml:space="preserve">de capital fijo) en este segundo período. De las cinco excepciones, sólo dos de ellas --Panamá y Bolivia-- logran mejorar tasas de crecimiento que ya eran altas y sólo Nicaragua presenta un salto absoluto significativo, (de 5,5% de crecimiento promedio en el primer período, a un 10,9% en el segundo).</w:t>
      </w:r>
    </w:p>
    <w:p>
      <w:pPr>
        <w:pStyle w:val="BodyText"/>
      </w:pPr>
      <w:r>
        <w:t xml:space="preserve">Dentro de los países donde la inversión se frena, destacan las desaceleraciones de Argentina, Brasil, Chile y Perú. En el caso de estos dos últimos paíse se trata de exportadores de metales, grupo de commodities que ha tenido una notoria caída en sus precios y donde la inversión minera representa una buena parte de la inversión real agregada.</w:t>
      </w:r>
    </w:p>
    <w:p>
      <w:pPr>
        <w:pStyle w:val="BodyText"/>
      </w:pPr>
      <w:r>
        <w:t xml:space="preserve">Este retroceso en el ritmo de acumulación de capital disminuye la probabilidad de ver expansiones rápidas y sostenidas de la producción en el mediano plazo, especialmente en el Cono Sur.</w:t>
      </w:r>
    </w:p>
    <w:p>
      <w:pPr>
        <w:pStyle w:val="TableCaption"/>
      </w:pPr>
      <w:r>
        <w:t xml:space="preserve">GFCG/PIB, tasa de crecimiento, LAC-18 y subregiones</w:t>
      </w:r>
    </w:p>
    <w:tbl>
      <w:tblPr>
        <w:tblStyle w:val="TableNormal"/>
        <w:tblW w:type="pct" w:w="0.0"/>
        <w:tblLook w:firstRow="1"/>
        <w:tblCaption w:val="GFCG/PIB, tasa de crecimiento, LAC-18 y subregion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2.8</w:t>
            </w:r>
          </w:p>
        </w:tc>
        <w:tc>
          <w:p>
            <w:pPr>
              <w:pStyle w:val="Compact"/>
              <w:jc w:val="right"/>
            </w:pPr>
            <w:r>
              <w:t xml:space="preserve">0.4</w:t>
            </w:r>
          </w:p>
        </w:tc>
        <w:tc>
          <w:p>
            <w:pPr>
              <w:pStyle w:val="Compact"/>
              <w:jc w:val="right"/>
            </w:pPr>
            <w:r>
              <w:t xml:space="preserve">1.3</w:t>
            </w:r>
          </w:p>
        </w:tc>
        <w:tc>
          <w:p>
            <w:pPr>
              <w:pStyle w:val="Compact"/>
              <w:jc w:val="right"/>
            </w:pPr>
            <w:r>
              <w:t xml:space="preserve">-4.4</w:t>
            </w:r>
          </w:p>
        </w:tc>
        <w:tc>
          <w:p>
            <w:pPr>
              <w:pStyle w:val="Compact"/>
              <w:jc w:val="right"/>
            </w:pPr>
            <w:r>
              <w:t xml:space="preserve">-0.5</w:t>
            </w:r>
          </w:p>
        </w:tc>
      </w:tr>
      <w:tr>
        <w:tc>
          <w:p>
            <w:pPr>
              <w:pStyle w:val="Compact"/>
              <w:jc w:val="left"/>
            </w:pPr>
            <w:r>
              <w:t xml:space="preserve">CARDM</w:t>
            </w:r>
          </w:p>
        </w:tc>
        <w:tc>
          <w:p>
            <w:pPr>
              <w:pStyle w:val="Compact"/>
              <w:jc w:val="right"/>
            </w:pPr>
            <w:r>
              <w:t xml:space="preserve">2.8</w:t>
            </w:r>
          </w:p>
        </w:tc>
        <w:tc>
          <w:p>
            <w:pPr>
              <w:pStyle w:val="Compact"/>
              <w:jc w:val="right"/>
            </w:pPr>
            <w:r>
              <w:t xml:space="preserve">2.2</w:t>
            </w:r>
          </w:p>
        </w:tc>
        <w:tc>
          <w:p>
            <w:pPr>
              <w:pStyle w:val="Compact"/>
              <w:jc w:val="right"/>
            </w:pPr>
            <w:r>
              <w:t xml:space="preserve">0.9</w:t>
            </w:r>
          </w:p>
        </w:tc>
        <w:tc>
          <w:p>
            <w:pPr>
              <w:pStyle w:val="Compact"/>
              <w:jc w:val="right"/>
            </w:pPr>
            <w:r>
              <w:t xml:space="preserve">-8.2</w:t>
            </w:r>
          </w:p>
        </w:tc>
        <w:tc>
          <w:p>
            <w:pPr>
              <w:pStyle w:val="Compact"/>
              <w:jc w:val="right"/>
            </w:pPr>
            <w:r>
              <w:t xml:space="preserve">0.8</w:t>
            </w:r>
          </w:p>
        </w:tc>
      </w:tr>
      <w:tr>
        <w:tc>
          <w:p>
            <w:pPr>
              <w:pStyle w:val="Compact"/>
              <w:jc w:val="left"/>
            </w:pPr>
            <w:r>
              <w:t xml:space="preserve">SA</w:t>
            </w:r>
          </w:p>
        </w:tc>
        <w:tc>
          <w:p>
            <w:pPr>
              <w:pStyle w:val="Compact"/>
              <w:jc w:val="right"/>
            </w:pPr>
            <w:r>
              <w:t xml:space="preserve">2.8</w:t>
            </w:r>
          </w:p>
        </w:tc>
        <w:tc>
          <w:p>
            <w:pPr>
              <w:pStyle w:val="Compact"/>
              <w:jc w:val="right"/>
            </w:pPr>
            <w:r>
              <w:t xml:space="preserve">-1.0</w:t>
            </w:r>
          </w:p>
        </w:tc>
        <w:tc>
          <w:p>
            <w:pPr>
              <w:pStyle w:val="Compact"/>
              <w:jc w:val="right"/>
            </w:pPr>
            <w:r>
              <w:t xml:space="preserve">1.6</w:t>
            </w:r>
          </w:p>
        </w:tc>
        <w:tc>
          <w:p>
            <w:pPr>
              <w:pStyle w:val="Compact"/>
              <w:jc w:val="right"/>
            </w:pPr>
            <w:r>
              <w:t xml:space="preserve">-1.3</w:t>
            </w:r>
          </w:p>
        </w:tc>
        <w:tc>
          <w:p>
            <w:pPr>
              <w:pStyle w:val="Compact"/>
              <w:jc w:val="right"/>
            </w:pPr>
            <w:r>
              <w:t xml:space="preserve">-1.7</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Heading2"/>
      </w:pPr>
      <w:bookmarkStart w:id="50" w:name="anexos"/>
      <w:bookmarkEnd w:id="50"/>
      <w:r>
        <w:t xml:space="preserve">Anexos</w:t>
      </w:r>
    </w:p>
    <w:p>
      <w:pPr>
        <w:pStyle w:val="TableCaption"/>
      </w:pPr>
      <w:r>
        <w:t xml:space="preserve">Average growth of potential output</w:t>
      </w:r>
    </w:p>
    <w:tbl>
      <w:tblPr>
        <w:tblStyle w:val="TableNormal"/>
        <w:tblW w:type="pct" w:w="0.0"/>
        <w:tblLook w:firstRow="1"/>
        <w:tblCaption w:val="Average growth of potential output"/>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LAC</w:t>
            </w:r>
          </w:p>
        </w:tc>
        <w:tc>
          <w:p>
            <w:pPr>
              <w:pStyle w:val="Compact"/>
              <w:jc w:val="center"/>
            </w:pPr>
            <w:r>
              <w:t xml:space="preserve">3.9</w:t>
            </w:r>
          </w:p>
        </w:tc>
        <w:tc>
          <w:p>
            <w:pPr>
              <w:pStyle w:val="Compact"/>
              <w:jc w:val="center"/>
            </w:pPr>
            <w:r>
              <w:t xml:space="preserve">2.8</w:t>
            </w:r>
          </w:p>
        </w:tc>
        <w:tc>
          <w:p>
            <w:pPr>
              <w:pStyle w:val="Compact"/>
              <w:jc w:val="center"/>
            </w:pPr>
            <w:r>
              <w:t xml:space="preserve">-1.1</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center"/>
            </w:pPr>
            <w:r>
              <w:t xml:space="preserve">-0.7</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Fuentes: CEPAL a partir de datos de brecha de PIB real en IMF, WEO Abril 2017</w:t>
      </w:r>
    </w:p>
    <w:p>
      <w:pPr>
        <w:pStyle w:val="TableCaption"/>
      </w:pPr>
      <w:r>
        <w:t xml:space="preserve">Net Financial flows: Number of extreme episodos</w:t>
      </w:r>
    </w:p>
    <w:tbl>
      <w:tblPr>
        <w:tblStyle w:val="TableNormal"/>
        <w:tblW w:type="pct" w:w="0.0"/>
        <w:tblLook w:firstRow="1"/>
        <w:tblCaption w:val="Net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left"/>
            </w:pPr>
            <w:r>
              <w:t xml:space="preserve">2000-2007</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2008-2009</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1995-2008</w:t>
            </w:r>
          </w:p>
        </w:tc>
        <w:tc>
          <w:tcPr>
            <w:tcBorders>
              <w:bottom w:val="single"/>
            </w:tcBorders>
            <w:vAlign w:val="bottom"/>
          </w:tcPr>
          <w:p>
            <w:pPr>
              <w:pStyle w:val="Compact"/>
              <w:jc w:val="right"/>
            </w:pPr>
            <w:r>
              <w:t xml:space="preserve">2010-2015</w:t>
            </w:r>
          </w:p>
        </w:tc>
      </w:tr>
      <w:tr>
        <w:tc>
          <w:p>
            <w:pPr>
              <w:pStyle w:val="Compact"/>
              <w:jc w:val="left"/>
            </w:pPr>
            <w:r>
              <w:t xml:space="preserve">AR</w:t>
            </w:r>
          </w:p>
        </w:tc>
        <w:tc>
          <w:p>
            <w:pPr>
              <w:pStyle w:val="Compact"/>
              <w:jc w:val="right"/>
            </w:pPr>
            <w:r>
              <w:t xml:space="preserve">-3.4</w:t>
            </w:r>
          </w:p>
        </w:tc>
        <w:tc>
          <w:p>
            <w:pPr>
              <w:pStyle w:val="Compact"/>
              <w:jc w:val="right"/>
            </w:pPr>
            <w:r>
              <w:t xml:space="preserve">2.4</w:t>
            </w:r>
          </w:p>
        </w:tc>
      </w:tr>
      <w:tr>
        <w:tc>
          <w:p>
            <w:pPr>
              <w:pStyle w:val="Compact"/>
              <w:jc w:val="left"/>
            </w:pPr>
            <w:r>
              <w:t xml:space="preserve">BO</w:t>
            </w:r>
          </w:p>
        </w:tc>
        <w:tc>
          <w:p>
            <w:pPr>
              <w:pStyle w:val="Compact"/>
              <w:jc w:val="right"/>
            </w:pPr>
            <w:r>
              <w:t xml:space="preserve">-2.3</w:t>
            </w:r>
          </w:p>
        </w:tc>
        <w:tc>
          <w:p>
            <w:pPr>
              <w:pStyle w:val="Compact"/>
              <w:jc w:val="right"/>
            </w:pPr>
            <w:r>
              <w:t xml:space="preserve">6.3</w:t>
            </w:r>
          </w:p>
        </w:tc>
      </w:tr>
      <w:tr>
        <w:tc>
          <w:p>
            <w:pPr>
              <w:pStyle w:val="Compact"/>
              <w:jc w:val="left"/>
            </w:pPr>
            <w:r>
              <w:t xml:space="preserve">BR</w:t>
            </w:r>
          </w:p>
        </w:tc>
        <w:tc>
          <w:p>
            <w:pPr>
              <w:pStyle w:val="Compact"/>
              <w:jc w:val="right"/>
            </w:pPr>
            <w:r>
              <w:t xml:space="preserve">0.5</w:t>
            </w:r>
          </w:p>
        </w:tc>
        <w:tc>
          <w:p>
            <w:pPr>
              <w:pStyle w:val="Compact"/>
              <w:jc w:val="right"/>
            </w:pPr>
            <w:r>
              <w:t xml:space="preserve">4.0</w:t>
            </w:r>
          </w:p>
        </w:tc>
      </w:tr>
      <w:tr>
        <w:tc>
          <w:p>
            <w:pPr>
              <w:pStyle w:val="Compact"/>
              <w:jc w:val="left"/>
            </w:pPr>
            <w:r>
              <w:t xml:space="preserve">CL</w:t>
            </w:r>
          </w:p>
        </w:tc>
        <w:tc>
          <w:p>
            <w:pPr>
              <w:pStyle w:val="Compact"/>
              <w:jc w:val="right"/>
            </w:pPr>
            <w:r>
              <w:t xml:space="preserve">5.1</w:t>
            </w:r>
          </w:p>
        </w:tc>
        <w:tc>
          <w:p>
            <w:pPr>
              <w:pStyle w:val="Compact"/>
              <w:jc w:val="right"/>
            </w:pPr>
            <w:r>
              <w:t xml:space="preserve">1.9</w:t>
            </w:r>
          </w:p>
        </w:tc>
      </w:tr>
      <w:tr>
        <w:tc>
          <w:p>
            <w:pPr>
              <w:pStyle w:val="Compact"/>
              <w:jc w:val="left"/>
            </w:pPr>
            <w:r>
              <w:t xml:space="preserve">CO</w:t>
            </w:r>
          </w:p>
        </w:tc>
        <w:tc>
          <w:p>
            <w:pPr>
              <w:pStyle w:val="Compact"/>
              <w:jc w:val="right"/>
            </w:pPr>
            <w:r>
              <w:t xml:space="preserve">0.8</w:t>
            </w:r>
          </w:p>
        </w:tc>
        <w:tc>
          <w:p>
            <w:pPr>
              <w:pStyle w:val="Compact"/>
              <w:jc w:val="right"/>
            </w:pPr>
            <w:r>
              <w:t xml:space="preserve">1.3</w:t>
            </w:r>
          </w:p>
        </w:tc>
      </w:tr>
      <w:tr>
        <w:tc>
          <w:p>
            <w:pPr>
              <w:pStyle w:val="Compact"/>
              <w:jc w:val="left"/>
            </w:pPr>
            <w:r>
              <w:t xml:space="preserve">CR</w:t>
            </w:r>
          </w:p>
        </w:tc>
        <w:tc>
          <w:p>
            <w:pPr>
              <w:pStyle w:val="Compact"/>
              <w:jc w:val="right"/>
            </w:pPr>
            <w:r>
              <w:t xml:space="preserve">11.5</w:t>
            </w:r>
          </w:p>
        </w:tc>
        <w:tc>
          <w:p>
            <w:pPr>
              <w:pStyle w:val="Compact"/>
              <w:jc w:val="right"/>
            </w:pPr>
            <w:r>
              <w:t xml:space="preserve">4.3</w:t>
            </w:r>
          </w:p>
        </w:tc>
      </w:tr>
      <w:tr>
        <w:tc>
          <w:p>
            <w:pPr>
              <w:pStyle w:val="Compact"/>
              <w:jc w:val="left"/>
            </w:pPr>
            <w:r>
              <w:t xml:space="preserve">DO</w:t>
            </w:r>
          </w:p>
        </w:tc>
        <w:tc>
          <w:p>
            <w:pPr>
              <w:pStyle w:val="Compact"/>
              <w:jc w:val="right"/>
            </w:pPr>
            <w:r>
              <w:t xml:space="preserve">0.6</w:t>
            </w:r>
          </w:p>
        </w:tc>
        <w:tc>
          <w:p>
            <w:pPr>
              <w:pStyle w:val="Compact"/>
              <w:jc w:val="right"/>
            </w:pPr>
            <w:r>
              <w:t xml:space="preserve">3.0</w:t>
            </w:r>
          </w:p>
        </w:tc>
      </w:tr>
      <w:tr>
        <w:tc>
          <w:p>
            <w:pPr>
              <w:pStyle w:val="Compact"/>
              <w:jc w:val="left"/>
            </w:pPr>
            <w:r>
              <w:t xml:space="preserve">EC</w:t>
            </w:r>
          </w:p>
        </w:tc>
        <w:tc>
          <w:p>
            <w:pPr>
              <w:pStyle w:val="Compact"/>
              <w:jc w:val="right"/>
            </w:pPr>
            <w:r>
              <w:t xml:space="preserve">0.2</w:t>
            </w:r>
          </w:p>
        </w:tc>
        <w:tc>
          <w:p>
            <w:pPr>
              <w:pStyle w:val="Compact"/>
              <w:jc w:val="right"/>
            </w:pPr>
            <w:r>
              <w:t xml:space="preserve">1.6</w:t>
            </w:r>
          </w:p>
        </w:tc>
      </w:tr>
      <w:tr>
        <w:tc>
          <w:p>
            <w:pPr>
              <w:pStyle w:val="Compact"/>
              <w:jc w:val="left"/>
            </w:pPr>
            <w:r>
              <w:t xml:space="preserve">GT</w:t>
            </w:r>
          </w:p>
        </w:tc>
        <w:tc>
          <w:p>
            <w:pPr>
              <w:pStyle w:val="Compact"/>
              <w:jc w:val="right"/>
            </w:pPr>
            <w:r>
              <w:t xml:space="preserve">2.5</w:t>
            </w:r>
          </w:p>
        </w:tc>
        <w:tc>
          <w:p>
            <w:pPr>
              <w:pStyle w:val="Compact"/>
              <w:jc w:val="right"/>
            </w:pPr>
            <w:r>
              <w:t xml:space="preserve">6.3</w:t>
            </w:r>
          </w:p>
        </w:tc>
      </w:tr>
      <w:tr>
        <w:tc>
          <w:p>
            <w:pPr>
              <w:pStyle w:val="Compact"/>
              <w:jc w:val="left"/>
            </w:pPr>
            <w:r>
              <w:t xml:space="preserve">HN</w:t>
            </w:r>
          </w:p>
        </w:tc>
        <w:tc>
          <w:p>
            <w:pPr>
              <w:pStyle w:val="Compact"/>
              <w:jc w:val="right"/>
            </w:pPr>
            <w:r>
              <w:t xml:space="preserve">5.3</w:t>
            </w:r>
          </w:p>
        </w:tc>
        <w:tc>
          <w:p>
            <w:pPr>
              <w:pStyle w:val="Compact"/>
              <w:jc w:val="right"/>
            </w:pPr>
            <w:r>
              <w:t xml:space="preserve">2.4</w:t>
            </w:r>
          </w:p>
        </w:tc>
      </w:tr>
      <w:tr>
        <w:tc>
          <w:p>
            <w:pPr>
              <w:pStyle w:val="Compact"/>
              <w:jc w:val="left"/>
            </w:pPr>
            <w:r>
              <w:t xml:space="preserve">MX</w:t>
            </w:r>
          </w:p>
        </w:tc>
        <w:tc>
          <w:p>
            <w:pPr>
              <w:pStyle w:val="Compact"/>
              <w:jc w:val="right"/>
            </w:pPr>
            <w:r>
              <w:t xml:space="preserve">-1.1</w:t>
            </w:r>
          </w:p>
        </w:tc>
        <w:tc>
          <w:p>
            <w:pPr>
              <w:pStyle w:val="Compact"/>
              <w:jc w:val="right"/>
            </w:pPr>
            <w:r>
              <w:t xml:space="preserve">5.7</w:t>
            </w:r>
          </w:p>
        </w:tc>
      </w:tr>
      <w:tr>
        <w:tc>
          <w:p>
            <w:pPr>
              <w:pStyle w:val="Compact"/>
              <w:jc w:val="left"/>
            </w:pPr>
            <w:r>
              <w:t xml:space="preserve">NI</w:t>
            </w:r>
          </w:p>
        </w:tc>
        <w:tc>
          <w:p>
            <w:pPr>
              <w:pStyle w:val="Compact"/>
              <w:jc w:val="right"/>
            </w:pPr>
            <w:r>
              <w:t xml:space="preserve">4.7</w:t>
            </w:r>
          </w:p>
        </w:tc>
        <w:tc>
          <w:p>
            <w:pPr>
              <w:pStyle w:val="Compact"/>
              <w:jc w:val="right"/>
            </w:pPr>
            <w:r>
              <w:t xml:space="preserve">5.5</w:t>
            </w:r>
          </w:p>
        </w:tc>
      </w:tr>
      <w:tr>
        <w:tc>
          <w:p>
            <w:pPr>
              <w:pStyle w:val="Compact"/>
              <w:jc w:val="left"/>
            </w:pPr>
            <w:r>
              <w:t xml:space="preserve">PA</w:t>
            </w:r>
          </w:p>
        </w:tc>
        <w:tc>
          <w:p>
            <w:pPr>
              <w:pStyle w:val="Compact"/>
              <w:jc w:val="right"/>
            </w:pPr>
            <w:r>
              <w:t xml:space="preserve">2.0</w:t>
            </w:r>
          </w:p>
        </w:tc>
        <w:tc>
          <w:p>
            <w:pPr>
              <w:pStyle w:val="Compact"/>
              <w:jc w:val="right"/>
            </w:pPr>
            <w:r>
              <w:t xml:space="preserve">0.5</w:t>
            </w:r>
          </w:p>
        </w:tc>
      </w:tr>
      <w:tr>
        <w:tc>
          <w:p>
            <w:pPr>
              <w:pStyle w:val="Compact"/>
              <w:jc w:val="left"/>
            </w:pPr>
            <w:r>
              <w:t xml:space="preserve">PE</w:t>
            </w:r>
          </w:p>
        </w:tc>
        <w:tc>
          <w:p>
            <w:pPr>
              <w:pStyle w:val="Compact"/>
              <w:jc w:val="right"/>
            </w:pPr>
            <w:r>
              <w:t xml:space="preserve">3.3</w:t>
            </w:r>
          </w:p>
        </w:tc>
        <w:tc>
          <w:p>
            <w:pPr>
              <w:pStyle w:val="Compact"/>
              <w:jc w:val="right"/>
            </w:pPr>
            <w:r>
              <w:t xml:space="preserve">6.7</w:t>
            </w:r>
          </w:p>
        </w:tc>
      </w:tr>
      <w:tr>
        <w:tc>
          <w:p>
            <w:pPr>
              <w:pStyle w:val="Compact"/>
              <w:jc w:val="left"/>
            </w:pPr>
            <w:r>
              <w:t xml:space="preserve">PY</w:t>
            </w:r>
          </w:p>
        </w:tc>
        <w:tc>
          <w:p>
            <w:pPr>
              <w:pStyle w:val="Compact"/>
              <w:jc w:val="right"/>
            </w:pPr>
            <w:r>
              <w:t xml:space="preserve">0.3</w:t>
            </w:r>
          </w:p>
        </w:tc>
        <w:tc>
          <w:p>
            <w:pPr>
              <w:pStyle w:val="Compact"/>
              <w:jc w:val="right"/>
            </w:pPr>
            <w:r>
              <w:t xml:space="preserve">9.0</w:t>
            </w:r>
          </w:p>
        </w:tc>
      </w:tr>
      <w:tr>
        <w:tc>
          <w:p>
            <w:pPr>
              <w:pStyle w:val="Compact"/>
              <w:jc w:val="left"/>
            </w:pPr>
            <w:r>
              <w:t xml:space="preserve">SV</w:t>
            </w:r>
          </w:p>
        </w:tc>
        <w:tc>
          <w:p>
            <w:pPr>
              <w:pStyle w:val="Compact"/>
              <w:jc w:val="right"/>
            </w:pPr>
            <w:r>
              <w:t xml:space="preserve">1.5</w:t>
            </w:r>
          </w:p>
        </w:tc>
        <w:tc>
          <w:p>
            <w:pPr>
              <w:pStyle w:val="Compact"/>
              <w:jc w:val="right"/>
            </w:pPr>
            <w:r>
              <w:t xml:space="preserve">1.6</w:t>
            </w:r>
          </w:p>
        </w:tc>
      </w:tr>
      <w:tr>
        <w:tc>
          <w:p>
            <w:pPr>
              <w:pStyle w:val="Compact"/>
              <w:jc w:val="left"/>
            </w:pPr>
            <w:r>
              <w:t xml:space="preserve">UY</w:t>
            </w:r>
          </w:p>
        </w:tc>
        <w:tc>
          <w:p>
            <w:pPr>
              <w:pStyle w:val="Compact"/>
              <w:jc w:val="right"/>
            </w:pPr>
            <w:r>
              <w:t xml:space="preserve">0.4</w:t>
            </w:r>
          </w:p>
        </w:tc>
        <w:tc>
          <w:p>
            <w:pPr>
              <w:pStyle w:val="Compact"/>
              <w:jc w:val="right"/>
            </w:pPr>
            <w:r>
              <w:t xml:space="preserve">5.1</w:t>
            </w:r>
          </w:p>
        </w:tc>
      </w:tr>
      <w:tr>
        <w:tc>
          <w:p>
            <w:pPr>
              <w:pStyle w:val="Compact"/>
              <w:jc w:val="left"/>
            </w:pPr>
            <w:r>
              <w:t xml:space="preserve">VE</w:t>
            </w:r>
          </w:p>
        </w:tc>
        <w:tc>
          <w:p>
            <w:pPr>
              <w:pStyle w:val="Compact"/>
              <w:jc w:val="right"/>
            </w:pPr>
            <w:r>
              <w:t xml:space="preserve">4.1</w:t>
            </w:r>
          </w:p>
        </w:tc>
        <w:tc>
          <w:p>
            <w:pPr>
              <w:pStyle w:val="Compact"/>
              <w:jc w:val="right"/>
            </w:pPr>
            <w:r>
              <w:t xml:space="preserve">12.2</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drawing>
          <wp:inline>
            <wp:extent cx="4620126" cy="3696101"/>
            <wp:effectExtent b="0" l="0" r="0" t="0"/>
            <wp:docPr descr="" id="1" name="Picture"/>
            <a:graphic>
              <a:graphicData uri="http://schemas.openxmlformats.org/drawingml/2006/picture">
                <pic:pic>
                  <pic:nvPicPr>
                    <pic:cNvPr descr="chapter_2_files/figure-docx/credit_growth_lac18_plot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hapter_2_files/figure-docx/credit_growth_lac18_plots-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sectPr w:rsidR="0025376C" w:rsidSect="0025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Nota: 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 .* Datos al primer trimestre.</w:t>
      </w:r>
      <w:r>
        <w:t xml:space="preserve"> </w:t>
      </w:r>
      <w:r>
        <w:t xml:space="preserve">Fuente: CEPAL en base a CPB World Trade Monitor</w:t>
      </w:r>
      <w:r>
        <w:br w:type="textWrapping"/>
      </w:r>
    </w:p>
  </w:footnote>
  <w:footnote w:id="27">
    <w:p>
      <w:pPr>
        <w:pStyle w:val="FootnoteText"/>
      </w:pPr>
      <w:r>
        <w:rPr>
          <w:rStyle w:val="FootnoteReference"/>
        </w:rPr>
        <w:footnoteRef/>
      </w:r>
      <w:r>
        <w:t xml:space="preserve"> </w:t>
      </w:r>
      <w:r>
        <w:t xml:space="preserve">Las variables de tasas de interés se dejaron expresadas como porcentaje y las importaciones de bienes de capital se dejaron como índice (2009=100).</w:t>
      </w:r>
    </w:p>
  </w:footnote>
  <w:footnote w:id="28">
    <w:p>
      <w:pPr>
        <w:pStyle w:val="FootnoteText"/>
      </w:pPr>
      <w:r>
        <w:rPr>
          <w:rStyle w:val="FootnoteReference"/>
        </w:rPr>
        <w:footnoteRef/>
      </w:r>
      <w:r>
        <w:t xml:space="preserve"> </w:t>
      </w:r>
      <w:r>
        <w:t xml:space="preserve">Para Estados Unidos, las importaciones consideradas son bienes de capital (excepto del sector automotor) – de acuerdo al criterio del FRED; expresados en un índice – no en logaritmo – donde 2009 = 100. La serie es trimestral y desestacionalizada.</w:t>
      </w:r>
    </w:p>
  </w:footnote>
  <w:footnote w:id="29">
    <w:p>
      <w:pPr>
        <w:pStyle w:val="FootnoteText"/>
      </w:pPr>
      <w:r>
        <w:rPr>
          <w:rStyle w:val="FootnoteReference"/>
        </w:rPr>
        <w:footnoteRef/>
      </w:r>
      <w:r>
        <w:t xml:space="preserve"> </w:t>
      </w:r>
      <w:r>
        <w:t xml:space="preserve">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footnote>
  <w:footnote w:id="30">
    <w:p>
      <w:pPr>
        <w:pStyle w:val="FootnoteText"/>
      </w:pPr>
      <w:r>
        <w:rPr>
          <w:rStyle w:val="FootnoteReference"/>
        </w:rPr>
        <w:footnoteRef/>
      </w:r>
      <w:r>
        <w:t xml:space="preserve"> </w:t>
      </w:r>
      <w:r>
        <w:t xml:space="preserve">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w:t>
      </w:r>
    </w:p>
  </w:footnote>
  <w:footnote w:id="31">
    <w:p>
      <w:pPr>
        <w:pStyle w:val="FootnoteText"/>
      </w:pPr>
      <w:r>
        <w:rPr>
          <w:rStyle w:val="FootnoteReference"/>
        </w:rPr>
        <w:footnoteRef/>
      </w:r>
      <w:r>
        <w:t xml:space="preserve"> </w:t>
      </w:r>
      <w:r>
        <w:t xml:space="preserve">Una posible explicación es que el modelo SVAR no logre distinguir la doble causalidad entre ambas variables.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7C2A43E"/>
    <w:lvl w:ilvl="0">
      <w:start w:val="1"/>
      <w:numFmt w:val="decimal"/>
      <w:lvlText w:val="%1."/>
      <w:lvlJc w:val="left"/>
      <w:pPr>
        <w:tabs>
          <w:tab w:val="num" w:pos="1800"/>
        </w:tabs>
        <w:ind w:left="1800" w:hanging="360"/>
      </w:pPr>
    </w:lvl>
  </w:abstractNum>
  <w:abstractNum w:abstractNumId="3">
    <w:nsid w:val="FFFFFF7D"/>
    <w:multiLevelType w:val="singleLevel"/>
    <w:tmpl w:val="D22EB536"/>
    <w:lvl w:ilvl="0">
      <w:start w:val="1"/>
      <w:numFmt w:val="decimal"/>
      <w:lvlText w:val="%1."/>
      <w:lvlJc w:val="left"/>
      <w:pPr>
        <w:tabs>
          <w:tab w:val="num" w:pos="1440"/>
        </w:tabs>
        <w:ind w:left="1440" w:hanging="360"/>
      </w:pPr>
    </w:lvl>
  </w:abstractNum>
  <w:abstractNum w:abstractNumId="4">
    <w:nsid w:val="FFFFFF7E"/>
    <w:multiLevelType w:val="singleLevel"/>
    <w:tmpl w:val="97727B4E"/>
    <w:lvl w:ilvl="0">
      <w:start w:val="1"/>
      <w:numFmt w:val="decimal"/>
      <w:lvlText w:val="%1."/>
      <w:lvlJc w:val="left"/>
      <w:pPr>
        <w:tabs>
          <w:tab w:val="num" w:pos="1080"/>
        </w:tabs>
        <w:ind w:left="1080" w:hanging="360"/>
      </w:pPr>
    </w:lvl>
  </w:abstractNum>
  <w:abstractNum w:abstractNumId="5">
    <w:nsid w:val="FFFFFF7F"/>
    <w:multiLevelType w:val="singleLevel"/>
    <w:tmpl w:val="5C0248D4"/>
    <w:lvl w:ilvl="0">
      <w:start w:val="1"/>
      <w:numFmt w:val="decimal"/>
      <w:lvlText w:val="%1."/>
      <w:lvlJc w:val="left"/>
      <w:pPr>
        <w:tabs>
          <w:tab w:val="num" w:pos="720"/>
        </w:tabs>
        <w:ind w:left="720" w:hanging="360"/>
      </w:pPr>
    </w:lvl>
  </w:abstractNum>
  <w:abstractNum w:abstractNumId="6">
    <w:nsid w:val="FFFFFF80"/>
    <w:multiLevelType w:val="singleLevel"/>
    <w:tmpl w:val="5CFC981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CAE1AF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C3A2BD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01A582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4BCC498"/>
    <w:lvl w:ilvl="0">
      <w:start w:val="1"/>
      <w:numFmt w:val="decimal"/>
      <w:lvlText w:val="%1."/>
      <w:lvlJc w:val="left"/>
      <w:pPr>
        <w:tabs>
          <w:tab w:val="num" w:pos="360"/>
        </w:tabs>
        <w:ind w:left="360" w:hanging="360"/>
      </w:pPr>
    </w:lvl>
  </w:abstractNum>
  <w:abstractNum w:abstractNumId="11">
    <w:nsid w:val="FFFFFF89"/>
    <w:multiLevelType w:val="singleLevel"/>
    <w:tmpl w:val="B6DCBBB4"/>
    <w:lvl w:ilvl="0">
      <w:start w:val="1"/>
      <w:numFmt w:val="bullet"/>
      <w:lvlText w:val=""/>
      <w:lvlJc w:val="left"/>
      <w:pPr>
        <w:tabs>
          <w:tab w:val="num" w:pos="360"/>
        </w:tabs>
        <w:ind w:left="360" w:hanging="360"/>
      </w:pPr>
      <w:rPr>
        <w:rFonts w:ascii="Symbol" w:hAnsi="Symbol" w:hint="default"/>
      </w:rPr>
    </w:lvl>
  </w:abstractNum>
  <w:abstractNum w:abstractNumId="12">
    <w:nsid w:val="5270293C"/>
    <w:multiLevelType w:val="multilevel"/>
    <w:tmpl w:val="29CA9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cb8f1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63342"/>
  </w:style>
  <w:style w:type="paragraph" w:styleId="Heading1">
    <w:name w:val="heading 1"/>
    <w:basedOn w:val="Normal"/>
    <w:next w:val="BodyText"/>
    <w:uiPriority w:val="9"/>
    <w:qFormat/>
    <w:rsid w:val="00253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79AB"/>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25376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376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25376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3342"/>
    <w:rPr>
      <w:rFonts w:ascii="Times New Roman" w:hAnsi="Times New Roman"/>
    </w:rPr>
  </w:style>
  <w:style w:type="paragraph" w:customStyle="1" w:styleId="FirstParagraph">
    <w:name w:val="First Paragraph"/>
    <w:basedOn w:val="BodyText"/>
    <w:next w:val="BodyText"/>
    <w:qFormat/>
    <w:rsid w:val="0025376C"/>
  </w:style>
  <w:style w:type="paragraph" w:customStyle="1" w:styleId="Compact">
    <w:name w:val="Compact"/>
    <w:basedOn w:val="BodyText"/>
    <w:qFormat/>
    <w:rsid w:val="0025376C"/>
    <w:pPr>
      <w:spacing w:before="36" w:after="36"/>
    </w:pPr>
  </w:style>
  <w:style w:type="paragraph" w:styleId="Title">
    <w:name w:val="Title"/>
    <w:basedOn w:val="Normal"/>
    <w:next w:val="BodyText"/>
    <w:qFormat/>
    <w:rsid w:val="00936A6C"/>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rsid w:val="0025376C"/>
    <w:pPr>
      <w:spacing w:before="240"/>
    </w:pPr>
    <w:rPr>
      <w:sz w:val="30"/>
      <w:szCs w:val="30"/>
    </w:rPr>
  </w:style>
  <w:style w:type="paragraph" w:customStyle="1" w:styleId="Author">
    <w:name w:val="Author"/>
    <w:next w:val="BodyText"/>
    <w:qFormat/>
    <w:rsid w:val="00452CC2"/>
    <w:pPr>
      <w:keepNext/>
      <w:keepLines/>
      <w:jc w:val="center"/>
    </w:pPr>
    <w:rPr>
      <w:rFonts w:ascii="Palatino Linotype" w:hAnsi="Palatino Linotype"/>
    </w:rPr>
  </w:style>
  <w:style w:type="paragraph" w:styleId="Date">
    <w:name w:val="Date"/>
    <w:next w:val="BodyText"/>
    <w:qFormat/>
    <w:rsid w:val="0077526F"/>
    <w:pPr>
      <w:keepNext/>
      <w:keepLines/>
      <w:jc w:val="center"/>
    </w:pPr>
    <w:rPr>
      <w:rFonts w:ascii="Palatino Linotype" w:hAnsi="Palatino Linotype"/>
    </w:rPr>
  </w:style>
  <w:style w:type="paragraph" w:customStyle="1" w:styleId="Abstract">
    <w:name w:val="Abstract"/>
    <w:basedOn w:val="Normal"/>
    <w:next w:val="BodyText"/>
    <w:qFormat/>
    <w:rsid w:val="0025376C"/>
    <w:pPr>
      <w:keepNext/>
      <w:keepLines/>
      <w:spacing w:before="300" w:after="300"/>
    </w:pPr>
    <w:rPr>
      <w:sz w:val="20"/>
      <w:szCs w:val="20"/>
    </w:rPr>
  </w:style>
  <w:style w:type="paragraph" w:styleId="Bibliography">
    <w:name w:val="Bibliography"/>
    <w:basedOn w:val="Normal"/>
    <w:qFormat/>
    <w:rsid w:val="0025376C"/>
  </w:style>
  <w:style w:type="paragraph" w:styleId="BlockText">
    <w:name w:val="Block Text"/>
    <w:basedOn w:val="BodyText"/>
    <w:next w:val="BodyText"/>
    <w:uiPriority w:val="9"/>
    <w:unhideWhenUsed/>
    <w:qFormat/>
    <w:rsid w:val="0025376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376C"/>
  </w:style>
  <w:style w:type="paragraph" w:customStyle="1" w:styleId="DefinitionTerm">
    <w:name w:val="Definition Term"/>
    <w:basedOn w:val="Normal"/>
    <w:next w:val="Definition"/>
    <w:rsid w:val="0025376C"/>
    <w:pPr>
      <w:keepNext/>
      <w:keepLines/>
      <w:spacing w:after="0"/>
    </w:pPr>
    <w:rPr>
      <w:b/>
    </w:rPr>
  </w:style>
  <w:style w:type="paragraph" w:customStyle="1" w:styleId="Definition">
    <w:name w:val="Definition"/>
    <w:basedOn w:val="Normal"/>
    <w:rsid w:val="0025376C"/>
  </w:style>
  <w:style w:type="paragraph" w:styleId="Caption">
    <w:name w:val="caption"/>
    <w:basedOn w:val="Normal"/>
    <w:link w:val="CaptionChar"/>
    <w:rsid w:val="0025376C"/>
    <w:pPr>
      <w:spacing w:after="120"/>
    </w:pPr>
    <w:rPr>
      <w:i/>
    </w:rPr>
  </w:style>
  <w:style w:type="paragraph" w:customStyle="1" w:styleId="TableCaption">
    <w:name w:val="Table Caption"/>
    <w:basedOn w:val="Caption"/>
    <w:rsid w:val="0025376C"/>
    <w:pPr>
      <w:keepNext/>
    </w:pPr>
  </w:style>
  <w:style w:type="paragraph" w:customStyle="1" w:styleId="ImageCaption">
    <w:name w:val="Image Caption"/>
    <w:basedOn w:val="Caption"/>
    <w:rsid w:val="0025376C"/>
  </w:style>
  <w:style w:type="paragraph" w:customStyle="1" w:styleId="Figure">
    <w:name w:val="Figure"/>
    <w:basedOn w:val="Normal"/>
    <w:rsid w:val="0025376C"/>
  </w:style>
  <w:style w:type="paragraph" w:customStyle="1" w:styleId="FigurewithCaption">
    <w:name w:val="Figure with Caption"/>
    <w:basedOn w:val="Figure"/>
    <w:rsid w:val="0025376C"/>
    <w:pPr>
      <w:keepNext/>
    </w:pPr>
  </w:style>
  <w:style w:type="character" w:customStyle="1" w:styleId="CaptionChar">
    <w:name w:val="Caption Char"/>
    <w:basedOn w:val="DefaultParagraphFont"/>
    <w:link w:val="Caption"/>
    <w:rsid w:val="0025376C"/>
  </w:style>
  <w:style w:type="character" w:customStyle="1" w:styleId="VerbatimChar">
    <w:name w:val="Verbatim Char"/>
    <w:basedOn w:val="CaptionChar"/>
    <w:link w:val="SourceCode"/>
    <w:rsid w:val="0025376C"/>
    <w:rPr>
      <w:rFonts w:ascii="Consolas" w:hAnsi="Consolas"/>
      <w:sz w:val="22"/>
    </w:rPr>
  </w:style>
  <w:style w:type="character" w:styleId="FootnoteReference">
    <w:name w:val="footnote reference"/>
    <w:basedOn w:val="CaptionChar"/>
    <w:rsid w:val="0025376C"/>
    <w:rPr>
      <w:vertAlign w:val="superscript"/>
    </w:rPr>
  </w:style>
  <w:style w:type="character" w:styleId="Hyperlink">
    <w:name w:val="Hyperlink"/>
    <w:basedOn w:val="CaptionChar"/>
    <w:rsid w:val="0025376C"/>
    <w:rPr>
      <w:color w:val="4F81BD" w:themeColor="accent1"/>
    </w:rPr>
  </w:style>
  <w:style w:type="paragraph" w:styleId="TOCHeading">
    <w:name w:val="TOC Heading"/>
    <w:basedOn w:val="Heading1"/>
    <w:next w:val="BodyText"/>
    <w:uiPriority w:val="39"/>
    <w:unhideWhenUsed/>
    <w:qFormat/>
    <w:rsid w:val="0025376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376C"/>
    <w:pPr>
      <w:shd w:val="clear" w:color="auto" w:fill="F8F8F8"/>
      <w:wordWrap w:val="0"/>
    </w:pPr>
  </w:style>
  <w:style w:type="character" w:customStyle="1" w:styleId="KeywordTok">
    <w:name w:val="KeywordTok"/>
    <w:basedOn w:val="VerbatimChar"/>
    <w:rsid w:val="0025376C"/>
    <w:rPr>
      <w:rFonts w:ascii="Consolas" w:hAnsi="Consolas"/>
      <w:b/>
      <w:color w:val="204A87"/>
      <w:sz w:val="22"/>
      <w:shd w:val="clear" w:color="auto" w:fill="F8F8F8"/>
    </w:rPr>
  </w:style>
  <w:style w:type="character" w:customStyle="1" w:styleId="DataTypeTok">
    <w:name w:val="DataTypeTok"/>
    <w:basedOn w:val="VerbatimChar"/>
    <w:rsid w:val="0025376C"/>
    <w:rPr>
      <w:rFonts w:ascii="Consolas" w:hAnsi="Consolas"/>
      <w:color w:val="204A87"/>
      <w:sz w:val="22"/>
      <w:shd w:val="clear" w:color="auto" w:fill="F8F8F8"/>
    </w:rPr>
  </w:style>
  <w:style w:type="character" w:customStyle="1" w:styleId="DecValTok">
    <w:name w:val="DecValTok"/>
    <w:basedOn w:val="VerbatimChar"/>
    <w:rsid w:val="0025376C"/>
    <w:rPr>
      <w:rFonts w:ascii="Consolas" w:hAnsi="Consolas"/>
      <w:color w:val="0000CF"/>
      <w:sz w:val="22"/>
      <w:shd w:val="clear" w:color="auto" w:fill="F8F8F8"/>
    </w:rPr>
  </w:style>
  <w:style w:type="character" w:customStyle="1" w:styleId="BaseNTok">
    <w:name w:val="BaseNTok"/>
    <w:basedOn w:val="VerbatimChar"/>
    <w:rsid w:val="0025376C"/>
    <w:rPr>
      <w:rFonts w:ascii="Consolas" w:hAnsi="Consolas"/>
      <w:color w:val="0000CF"/>
      <w:sz w:val="22"/>
      <w:shd w:val="clear" w:color="auto" w:fill="F8F8F8"/>
    </w:rPr>
  </w:style>
  <w:style w:type="character" w:customStyle="1" w:styleId="FloatTok">
    <w:name w:val="FloatTok"/>
    <w:basedOn w:val="VerbatimChar"/>
    <w:rsid w:val="0025376C"/>
    <w:rPr>
      <w:rFonts w:ascii="Consolas" w:hAnsi="Consolas"/>
      <w:color w:val="0000CF"/>
      <w:sz w:val="22"/>
      <w:shd w:val="clear" w:color="auto" w:fill="F8F8F8"/>
    </w:rPr>
  </w:style>
  <w:style w:type="character" w:customStyle="1" w:styleId="ConstantTok">
    <w:name w:val="ConstantTok"/>
    <w:basedOn w:val="VerbatimChar"/>
    <w:rsid w:val="0025376C"/>
    <w:rPr>
      <w:rFonts w:ascii="Consolas" w:hAnsi="Consolas"/>
      <w:color w:val="000000"/>
      <w:sz w:val="22"/>
      <w:shd w:val="clear" w:color="auto" w:fill="F8F8F8"/>
    </w:rPr>
  </w:style>
  <w:style w:type="character" w:customStyle="1" w:styleId="CharTok">
    <w:name w:val="CharTok"/>
    <w:basedOn w:val="VerbatimChar"/>
    <w:rsid w:val="0025376C"/>
    <w:rPr>
      <w:rFonts w:ascii="Consolas" w:hAnsi="Consolas"/>
      <w:color w:val="4E9A06"/>
      <w:sz w:val="22"/>
      <w:shd w:val="clear" w:color="auto" w:fill="F8F8F8"/>
    </w:rPr>
  </w:style>
  <w:style w:type="character" w:customStyle="1" w:styleId="SpecialCharTok">
    <w:name w:val="SpecialCharTok"/>
    <w:basedOn w:val="VerbatimChar"/>
    <w:rsid w:val="0025376C"/>
    <w:rPr>
      <w:rFonts w:ascii="Consolas" w:hAnsi="Consolas"/>
      <w:color w:val="000000"/>
      <w:sz w:val="22"/>
      <w:shd w:val="clear" w:color="auto" w:fill="F8F8F8"/>
    </w:rPr>
  </w:style>
  <w:style w:type="character" w:customStyle="1" w:styleId="StringTok">
    <w:name w:val="StringTok"/>
    <w:basedOn w:val="VerbatimChar"/>
    <w:rsid w:val="0025376C"/>
    <w:rPr>
      <w:rFonts w:ascii="Consolas" w:hAnsi="Consolas"/>
      <w:color w:val="4E9A06"/>
      <w:sz w:val="22"/>
      <w:shd w:val="clear" w:color="auto" w:fill="F8F8F8"/>
    </w:rPr>
  </w:style>
  <w:style w:type="character" w:customStyle="1" w:styleId="VerbatimStringTok">
    <w:name w:val="VerbatimStringTok"/>
    <w:basedOn w:val="VerbatimChar"/>
    <w:rsid w:val="0025376C"/>
    <w:rPr>
      <w:rFonts w:ascii="Consolas" w:hAnsi="Consolas"/>
      <w:color w:val="4E9A06"/>
      <w:sz w:val="22"/>
      <w:shd w:val="clear" w:color="auto" w:fill="F8F8F8"/>
    </w:rPr>
  </w:style>
  <w:style w:type="character" w:customStyle="1" w:styleId="SpecialStringTok">
    <w:name w:val="SpecialStringTok"/>
    <w:basedOn w:val="VerbatimChar"/>
    <w:rsid w:val="0025376C"/>
    <w:rPr>
      <w:rFonts w:ascii="Consolas" w:hAnsi="Consolas"/>
      <w:color w:val="4E9A06"/>
      <w:sz w:val="22"/>
      <w:shd w:val="clear" w:color="auto" w:fill="F8F8F8"/>
    </w:rPr>
  </w:style>
  <w:style w:type="character" w:customStyle="1" w:styleId="ImportTok">
    <w:name w:val="ImportTok"/>
    <w:basedOn w:val="VerbatimChar"/>
    <w:rsid w:val="0025376C"/>
    <w:rPr>
      <w:rFonts w:ascii="Consolas" w:hAnsi="Consolas"/>
      <w:sz w:val="22"/>
      <w:shd w:val="clear" w:color="auto" w:fill="F8F8F8"/>
    </w:rPr>
  </w:style>
  <w:style w:type="character" w:customStyle="1" w:styleId="CommentTok">
    <w:name w:val="CommentTok"/>
    <w:basedOn w:val="VerbatimChar"/>
    <w:rsid w:val="0025376C"/>
    <w:rPr>
      <w:rFonts w:ascii="Consolas" w:hAnsi="Consolas"/>
      <w:i/>
      <w:color w:val="8F5902"/>
      <w:sz w:val="22"/>
      <w:shd w:val="clear" w:color="auto" w:fill="F8F8F8"/>
    </w:rPr>
  </w:style>
  <w:style w:type="character" w:customStyle="1" w:styleId="DocumentationTok">
    <w:name w:val="DocumentationTok"/>
    <w:basedOn w:val="VerbatimChar"/>
    <w:rsid w:val="0025376C"/>
    <w:rPr>
      <w:rFonts w:ascii="Consolas" w:hAnsi="Consolas"/>
      <w:b/>
      <w:i/>
      <w:color w:val="8F5902"/>
      <w:sz w:val="22"/>
      <w:shd w:val="clear" w:color="auto" w:fill="F8F8F8"/>
    </w:rPr>
  </w:style>
  <w:style w:type="character" w:customStyle="1" w:styleId="AnnotationTok">
    <w:name w:val="AnnotationTok"/>
    <w:basedOn w:val="VerbatimChar"/>
    <w:rsid w:val="0025376C"/>
    <w:rPr>
      <w:rFonts w:ascii="Consolas" w:hAnsi="Consolas"/>
      <w:b/>
      <w:i/>
      <w:color w:val="8F5902"/>
      <w:sz w:val="22"/>
      <w:shd w:val="clear" w:color="auto" w:fill="F8F8F8"/>
    </w:rPr>
  </w:style>
  <w:style w:type="character" w:customStyle="1" w:styleId="CommentVarTok">
    <w:name w:val="CommentVarTok"/>
    <w:basedOn w:val="VerbatimChar"/>
    <w:rsid w:val="0025376C"/>
    <w:rPr>
      <w:rFonts w:ascii="Consolas" w:hAnsi="Consolas"/>
      <w:b/>
      <w:i/>
      <w:color w:val="8F5902"/>
      <w:sz w:val="22"/>
      <w:shd w:val="clear" w:color="auto" w:fill="F8F8F8"/>
    </w:rPr>
  </w:style>
  <w:style w:type="character" w:customStyle="1" w:styleId="OtherTok">
    <w:name w:val="OtherTok"/>
    <w:basedOn w:val="VerbatimChar"/>
    <w:rsid w:val="0025376C"/>
    <w:rPr>
      <w:rFonts w:ascii="Consolas" w:hAnsi="Consolas"/>
      <w:color w:val="8F5902"/>
      <w:sz w:val="22"/>
      <w:shd w:val="clear" w:color="auto" w:fill="F8F8F8"/>
    </w:rPr>
  </w:style>
  <w:style w:type="character" w:customStyle="1" w:styleId="FunctionTok">
    <w:name w:val="FunctionTok"/>
    <w:basedOn w:val="VerbatimChar"/>
    <w:rsid w:val="0025376C"/>
    <w:rPr>
      <w:rFonts w:ascii="Consolas" w:hAnsi="Consolas"/>
      <w:color w:val="000000"/>
      <w:sz w:val="22"/>
      <w:shd w:val="clear" w:color="auto" w:fill="F8F8F8"/>
    </w:rPr>
  </w:style>
  <w:style w:type="character" w:customStyle="1" w:styleId="VariableTok">
    <w:name w:val="VariableTok"/>
    <w:basedOn w:val="VerbatimChar"/>
    <w:rsid w:val="0025376C"/>
    <w:rPr>
      <w:rFonts w:ascii="Consolas" w:hAnsi="Consolas"/>
      <w:color w:val="000000"/>
      <w:sz w:val="22"/>
      <w:shd w:val="clear" w:color="auto" w:fill="F8F8F8"/>
    </w:rPr>
  </w:style>
  <w:style w:type="character" w:customStyle="1" w:styleId="ControlFlowTok">
    <w:name w:val="ControlFlowTok"/>
    <w:basedOn w:val="VerbatimChar"/>
    <w:rsid w:val="0025376C"/>
    <w:rPr>
      <w:rFonts w:ascii="Consolas" w:hAnsi="Consolas"/>
      <w:b/>
      <w:color w:val="204A87"/>
      <w:sz w:val="22"/>
      <w:shd w:val="clear" w:color="auto" w:fill="F8F8F8"/>
    </w:rPr>
  </w:style>
  <w:style w:type="character" w:customStyle="1" w:styleId="OperatorTok">
    <w:name w:val="OperatorTok"/>
    <w:basedOn w:val="VerbatimChar"/>
    <w:rsid w:val="0025376C"/>
    <w:rPr>
      <w:rFonts w:ascii="Consolas" w:hAnsi="Consolas"/>
      <w:b/>
      <w:color w:val="CE5C00"/>
      <w:sz w:val="22"/>
      <w:shd w:val="clear" w:color="auto" w:fill="F8F8F8"/>
    </w:rPr>
  </w:style>
  <w:style w:type="character" w:customStyle="1" w:styleId="BuiltInTok">
    <w:name w:val="BuiltInTok"/>
    <w:basedOn w:val="VerbatimChar"/>
    <w:rsid w:val="0025376C"/>
    <w:rPr>
      <w:rFonts w:ascii="Consolas" w:hAnsi="Consolas"/>
      <w:sz w:val="22"/>
      <w:shd w:val="clear" w:color="auto" w:fill="F8F8F8"/>
    </w:rPr>
  </w:style>
  <w:style w:type="character" w:customStyle="1" w:styleId="ExtensionTok">
    <w:name w:val="ExtensionTok"/>
    <w:basedOn w:val="VerbatimChar"/>
    <w:rsid w:val="0025376C"/>
    <w:rPr>
      <w:rFonts w:ascii="Consolas" w:hAnsi="Consolas"/>
      <w:sz w:val="22"/>
      <w:shd w:val="clear" w:color="auto" w:fill="F8F8F8"/>
    </w:rPr>
  </w:style>
  <w:style w:type="character" w:customStyle="1" w:styleId="PreprocessorTok">
    <w:name w:val="PreprocessorTok"/>
    <w:basedOn w:val="VerbatimChar"/>
    <w:rsid w:val="0025376C"/>
    <w:rPr>
      <w:rFonts w:ascii="Consolas" w:hAnsi="Consolas"/>
      <w:i/>
      <w:color w:val="8F5902"/>
      <w:sz w:val="22"/>
      <w:shd w:val="clear" w:color="auto" w:fill="F8F8F8"/>
    </w:rPr>
  </w:style>
  <w:style w:type="character" w:customStyle="1" w:styleId="AttributeTok">
    <w:name w:val="AttributeTok"/>
    <w:basedOn w:val="VerbatimChar"/>
    <w:rsid w:val="0025376C"/>
    <w:rPr>
      <w:rFonts w:ascii="Consolas" w:hAnsi="Consolas"/>
      <w:color w:val="C4A000"/>
      <w:sz w:val="22"/>
      <w:shd w:val="clear" w:color="auto" w:fill="F8F8F8"/>
    </w:rPr>
  </w:style>
  <w:style w:type="character" w:customStyle="1" w:styleId="RegionMarkerTok">
    <w:name w:val="RegionMarkerTok"/>
    <w:basedOn w:val="VerbatimChar"/>
    <w:rsid w:val="0025376C"/>
    <w:rPr>
      <w:rFonts w:ascii="Consolas" w:hAnsi="Consolas"/>
      <w:sz w:val="22"/>
      <w:shd w:val="clear" w:color="auto" w:fill="F8F8F8"/>
    </w:rPr>
  </w:style>
  <w:style w:type="character" w:customStyle="1" w:styleId="InformationTok">
    <w:name w:val="InformationTok"/>
    <w:basedOn w:val="VerbatimChar"/>
    <w:rsid w:val="0025376C"/>
    <w:rPr>
      <w:rFonts w:ascii="Consolas" w:hAnsi="Consolas"/>
      <w:b/>
      <w:i/>
      <w:color w:val="8F5902"/>
      <w:sz w:val="22"/>
      <w:shd w:val="clear" w:color="auto" w:fill="F8F8F8"/>
    </w:rPr>
  </w:style>
  <w:style w:type="character" w:customStyle="1" w:styleId="WarningTok">
    <w:name w:val="WarningTok"/>
    <w:basedOn w:val="VerbatimChar"/>
    <w:rsid w:val="0025376C"/>
    <w:rPr>
      <w:rFonts w:ascii="Consolas" w:hAnsi="Consolas"/>
      <w:b/>
      <w:i/>
      <w:color w:val="8F5902"/>
      <w:sz w:val="22"/>
      <w:shd w:val="clear" w:color="auto" w:fill="F8F8F8"/>
    </w:rPr>
  </w:style>
  <w:style w:type="character" w:customStyle="1" w:styleId="AlertTok">
    <w:name w:val="AlertTok"/>
    <w:basedOn w:val="VerbatimChar"/>
    <w:rsid w:val="0025376C"/>
    <w:rPr>
      <w:rFonts w:ascii="Consolas" w:hAnsi="Consolas"/>
      <w:color w:val="EF2929"/>
      <w:sz w:val="22"/>
      <w:shd w:val="clear" w:color="auto" w:fill="F8F8F8"/>
    </w:rPr>
  </w:style>
  <w:style w:type="character" w:customStyle="1" w:styleId="ErrorTok">
    <w:name w:val="ErrorTok"/>
    <w:basedOn w:val="VerbatimChar"/>
    <w:rsid w:val="0025376C"/>
    <w:rPr>
      <w:rFonts w:ascii="Consolas" w:hAnsi="Consolas"/>
      <w:b/>
      <w:color w:val="A40000"/>
      <w:sz w:val="22"/>
      <w:shd w:val="clear" w:color="auto" w:fill="F8F8F8"/>
    </w:rPr>
  </w:style>
  <w:style w:type="character" w:customStyle="1" w:styleId="NormalTok">
    <w:name w:val="NormalTok"/>
    <w:basedOn w:val="VerbatimChar"/>
    <w:rsid w:val="0025376C"/>
    <w:rPr>
      <w:rFonts w:ascii="Consolas" w:hAnsi="Consolas"/>
      <w:sz w:val="22"/>
      <w:shd w:val="clear" w:color="auto" w:fill="F8F8F8"/>
    </w:rPr>
  </w:style>
  <w:style w:type="character" w:customStyle="1" w:styleId="BodyTextChar">
    <w:name w:val="Body Text Char"/>
    <w:basedOn w:val="DefaultParagraphFont"/>
    <w:link w:val="BodyText"/>
    <w:rsid w:val="00563342"/>
    <w:rPr>
      <w:rFonts w:ascii="Times New Roman" w:hAnsi="Times New Roman"/>
    </w:rPr>
  </w:style>
  <w:style w:type="paragraph" w:styleId="BalloonText">
    <w:name w:val="Balloon Text"/>
    <w:basedOn w:val="Normal"/>
    <w:link w:val="BalloonTextChar"/>
    <w:semiHidden/>
    <w:unhideWhenUsed/>
    <w:rsid w:val="00873C0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3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II: La región y el nuevo normal</dc:title>
  <dc:creator>DDE</dc:creator>
  <dcterms:created xsi:type="dcterms:W3CDTF">2017-05-30T08:31:29Z</dcterms:created>
  <dcterms:modified xsi:type="dcterms:W3CDTF">2017-05-30T08:31:29Z</dcterms:modified>
</cp:coreProperties>
</file>