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color w:val="6b6360"/>
          <w:sz w:val="19"/>
          <w:szCs w:val="19"/>
        </w:rPr>
        <w:t xml:space="preserve">Universidad de La Sabana · Prácticas de Anatomía</w:t>
      </w:r>
    </w:p>
    <w:p>
      <w:pPr>
        <w:spacing w:after="40"/>
      </w:pPr>
      <w:r>
        <w:rPr>
          <w:b/>
          <w:bCs/>
          <w:color w:val="1f3a5f"/>
          <w:sz w:val="34"/>
          <w:szCs w:val="34"/>
        </w:rPr>
        <w:t xml:space="preserve">Informe de dudas y sugerencias de los estudiantes</w:t>
      </w:r>
    </w:p>
    <w:p>
      <w:pPr>
        <w:spacing w:after="40"/>
      </w:pPr>
      <w:r>
        <w:rPr>
          <w:b/>
          <w:bCs/>
          <w:color w:val="b3202c"/>
          <w:sz w:val="24"/>
          <w:szCs w:val="24"/>
        </w:rPr>
        <w:t xml:space="preserve">Seguimiento pedagógico · Portafolios SOI II y SOI III</w:t>
      </w:r>
    </w:p>
    <w:p>
      <w:pPr>
        <w:spacing w:after="40" w:line="276"/>
      </w:pPr>
      <w:r>
        <w:rPr>
          <w:color w:val="6b6360"/>
          <w:sz w:val="19"/>
          <w:szCs w:val="19"/>
        </w:rPr>
        <w:t xml:space="preserve">Corte de datos: 7 de agosto de 2026 · Fuente: registros en vivo del portafolio (Supabase).</w:t>
      </w:r>
    </w:p>
    <w:p>
      <w:pPr>
        <w:spacing w:after="200" w:line="276"/>
      </w:pPr>
      <w:r>
        <w:rPr>
          <w:color w:val="6b6360"/>
          <w:sz w:val="19"/>
          <w:szCs w:val="19"/>
        </w:rPr>
        <w:t xml:space="preserve">Base analizada: 159 respuestas con texto (campos «dudas» y «comentario/sugerencia»). SOI II: Corazón (44), Respiratorio (51), Digestivo (24), Renal (16). SOI III: Región inframesocólica (24). Los módulos de Cerebro (SOI II) y Órganos de los sentidos (SOI III) aún no registran respuestas con texto.</w:t>
      </w:r>
    </w:p>
    <w:p>
      <w:pPr>
        <w:pStyle w:val="Heading1"/>
        <w:spacing w:after="120" w:before="280"/>
      </w:pPr>
      <w:r>
        <w:rPr>
          <w:b/>
          <w:bCs/>
          <w:color w:val="1f3a5f"/>
        </w:rPr>
        <w:t xml:space="preserve">1. Resumen ejecutivo</w:t>
      </w:r>
    </w:p>
    <w:p>
      <w:pPr>
        <w:spacing w:after="120" w:line="276"/>
      </w:pPr>
      <w:r>
        <w:t xml:space="preserve">El balance general es muy positivo: la metodología «ver–tocar» y el portafolio de tres fases (preparación previa, práctica y quiz de cierre) son valorados de forma consistente por los estudiantes, quienes reportan que aprenden más al integrar la teoría con el modelo o el cuerpo real. La gran mayoría de comentarios libres son de satisfacción («muy buena práctica», «didáctica», «me ayudó a afianzar»). </w:t>
      </w:r>
      <w:r>
        <w:t xml:space="preserve">Dicho esto, del análisis emergen tres frentes de mejora claros y accionables. </w:t>
      </w:r>
      <w:r>
        <w:rPr>
          <w:b/>
          <w:bCs/>
        </w:rPr>
        <w:t xml:space="preserve">Primero, un frente logístico: el tiempo y la rotación por estaciones se quedan cortos y varias mesas quedan con sobrecupo o con modelos incompletos, lo que impide que todos observen todas las estructuras. </w:t>
      </w:r>
      <w:r>
        <w:rPr>
          <w:b/>
          <w:bCs/>
        </w:rPr>
        <w:t xml:space="preserve">Segundo, un frente comunicativo: el ritmo y la audibilidad de la explicación en el anfiteatro (particularmente de uno de los docentes) generan pérdida de información. </w:t>
      </w:r>
      <w:r>
        <w:rPr>
          <w:b/>
          <w:bCs/>
        </w:rPr>
        <w:t xml:space="preserve">Tercero, un frente de herramientas: el manejo del Anatomage/AnatoMatch es la barrera transversal más citada, sobre todo en SOI III.</w:t>
      </w:r>
    </w:p>
    <w:p>
      <w:pPr>
        <w:spacing w:after="120" w:line="276"/>
      </w:pPr>
      <w:r>
        <w:t xml:space="preserve">En lo académico, las dudas se concentran en irrigación (arterial y venosa), orientación espacial en cortes/Anatomage y estructuras internas finas (músculos del corazón, peritoneo y mesos). </w:t>
      </w:r>
      <w:r>
        <w:rPr>
          <w:b/>
          <w:bCs/>
          <w:color w:val="b3202c"/>
        </w:rPr>
        <w:t xml:space="preserve">Se detecta además un incidente técnico de la plataforma que debe priorizarse: reportes de que la app «borra las respuestas» al marcar el checklist.</w:t>
      </w:r>
    </w:p>
    <w:p>
      <w:pPr>
        <w:pStyle w:val="Heading1"/>
        <w:spacing w:after="120" w:before="280"/>
      </w:pPr>
      <w:r>
        <w:rPr>
          <w:b/>
          <w:bCs/>
          <w:color w:val="1f3a5f"/>
        </w:rPr>
        <w:t xml:space="preserve">2. Alcance y método</w:t>
      </w:r>
    </w:p>
    <w:p>
      <w:pPr>
        <w:spacing w:after="120" w:line="276"/>
      </w:pPr>
      <w:r>
        <w:t xml:space="preserve">Se extrajeron todos los registros con contenido de los campos abiertos «dudas» y «comentario» de las tablas de avance de cada módulo. Se descartaron las respuestas vacías o sin información («ninguna», «no», «.», «N/A»). Cada respuesta se clasificó temáticamente; una misma respuesta puede aportar a más de un tema (p. ej., una duda anatómica y una sugerencia logística). Las frecuencias son conteos temáticos aproximados sobre el corpus depurado y se acompañan de citas textuales representativas para preservar la voz del estudiante. El análisis es transversal a los dos cursos, señalando cuando un patrón es propio de uno de ellos.</w:t>
      </w:r>
    </w:p>
    <w:p>
      <w:pPr>
        <w:pStyle w:val="Heading1"/>
        <w:spacing w:after="120" w:before="280"/>
      </w:pPr>
      <w:r>
        <w:rPr>
          <w:b/>
          <w:bCs/>
          <w:color w:val="1f3a5f"/>
        </w:rPr>
        <w:t xml:space="preserve">3. Panorama de participación</w:t>
      </w:r>
    </w:p>
    <w:tbl>
      <w:tblPr>
        <w:tblW w:type="dxa" w:w="9360"/>
        <w:tblBorders>
          <w:top w:val="single" w:color="d8dee1" w:sz="4"/>
          <w:left w:val="single" w:color="d8dee1" w:sz="4"/>
          <w:bottom w:val="single" w:color="d8dee1" w:sz="4"/>
          <w:right w:val="single" w:color="d8dee1" w:sz="4"/>
          <w:insideH w:val="single" w:color="d8dee1" w:sz="4"/>
          <w:insideV w:val="single" w:color="d8dee1" w:sz="4"/>
        </w:tblBorders>
      </w:tblPr>
      <w:tblGrid>
        <w:gridCol w:w="3200"/>
        <w:gridCol w:w="1400"/>
        <w:gridCol w:w="1400"/>
        <w:gridCol w:w="3360"/>
      </w:tblGrid>
      <w:tr>
        <w:trPr>
          <w:tblHeader/>
        </w:trPr>
        <w:tc>
          <w:tcPr>
            <w:tcW w:type="dxa" w:w="32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Módulo</w:t>
            </w:r>
          </w:p>
        </w:tc>
        <w:tc>
          <w:tcPr>
            <w:tcW w:type="dxa" w:w="14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Respuestas</w:t>
            </w:r>
          </w:p>
        </w:tc>
        <w:tc>
          <w:tcPr>
            <w:tcW w:type="dxa" w:w="14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336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Observación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Corazón (SOI II)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44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Cerrado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Alta participación; muchas dudas de irrigación e interior del corazón.</w:t>
            </w:r>
          </w:p>
        </w:tc>
      </w:tr>
      <w:tr>
        <w:tc>
          <w:tcPr>
            <w:tcW w:type="dxa" w:w="3200"/>
            <w:shd w:fill="f5f2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Respiratorio (SOI II)</w:t>
            </w:r>
          </w:p>
        </w:tc>
        <w:tc>
          <w:tcPr>
            <w:tcW w:type="dxa" w:w="1400"/>
            <w:shd w:fill="f5f2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51</w:t>
            </w:r>
          </w:p>
        </w:tc>
        <w:tc>
          <w:tcPr>
            <w:tcW w:type="dxa" w:w="1400"/>
            <w:shd w:fill="f5f2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Cerrado</w:t>
            </w:r>
          </w:p>
        </w:tc>
        <w:tc>
          <w:tcPr>
            <w:tcW w:type="dxa" w:w="3360"/>
            <w:shd w:fill="f5f2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Módulo con más respuestas; foco en Anatomage, costillas y tiempo/rotación.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Digestivo (SOI II)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24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Cerrado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Peritoneo, sistema porta e irrigación; quejas de sobrecupo en mesas.</w:t>
            </w:r>
          </w:p>
        </w:tc>
      </w:tr>
      <w:tr>
        <w:tc>
          <w:tcPr>
            <w:tcW w:type="dxa" w:w="3200"/>
            <w:shd w:fill="f5f2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Renal (SOI II)</w:t>
            </w:r>
          </w:p>
        </w:tc>
        <w:tc>
          <w:tcPr>
            <w:tcW w:type="dxa" w:w="1400"/>
            <w:shd w:fill="f5f2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16</w:t>
            </w:r>
          </w:p>
        </w:tc>
        <w:tc>
          <w:tcPr>
            <w:tcW w:type="dxa" w:w="1400"/>
            <w:shd w:fill="f5f2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Reciente</w:t>
            </w:r>
          </w:p>
        </w:tc>
        <w:tc>
          <w:tcPr>
            <w:tcW w:type="dxa" w:w="3360"/>
            <w:shd w:fill="f5f2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Buena recepción; dudas puntuales (arterias, vejiga, suprarrenales).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Inframesocólico (SOI III)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24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Cerrado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Anatomage/AnatoMatch y mesentérica inferior como ejes.</w:t>
            </w:r>
          </w:p>
        </w:tc>
      </w:tr>
      <w:tr>
        <w:tc>
          <w:tcPr>
            <w:tcW w:type="dxa" w:w="3200"/>
            <w:shd w:fill="f5f2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Cerebro (SOI II)</w:t>
            </w:r>
          </w:p>
        </w:tc>
        <w:tc>
          <w:tcPr>
            <w:tcW w:type="dxa" w:w="1400"/>
            <w:shd w:fill="f5f2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  <w:shd w:fill="f5f2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Abierto/nuevo</w:t>
            </w:r>
          </w:p>
        </w:tc>
        <w:tc>
          <w:tcPr>
            <w:tcW w:type="dxa" w:w="3360"/>
            <w:shd w:fill="f5f2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Sin respuestas con texto al corte.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Órganos de los sentidos (SOI III)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Abierto/nuevo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Sin respuestas con texto al corte.</w:t>
            </w:r>
          </w:p>
        </w:tc>
      </w:tr>
    </w:tbl>
    <w:p>
      <w:pPr>
        <w:spacing w:after="40" w:line="276"/>
      </w:pPr>
      <w:r>
        <w:t xml:space="preserve"/>
      </w:r>
    </w:p>
    <w:p>
      <w:pPr>
        <w:pStyle w:val="Heading1"/>
        <w:spacing w:after="120" w:before="280"/>
      </w:pPr>
      <w:r>
        <w:rPr>
          <w:b/>
          <w:bCs/>
          <w:color w:val="1f3a5f"/>
        </w:rPr>
        <w:t xml:space="preserve">4. Dudas académicas — ranking por frecuencia</w:t>
      </w:r>
    </w:p>
    <w:p>
      <w:pPr>
        <w:spacing w:after="120" w:line="276"/>
      </w:pPr>
      <w:r>
        <w:t xml:space="preserve">Ordenadas de mayor a menor recurrencia temática en los dos cursos.</w:t>
      </w:r>
    </w:p>
    <w:tbl>
      <w:tblPr>
        <w:tblW w:type="dxa" w:w="9360"/>
        <w:tblBorders>
          <w:top w:val="single" w:color="d8dee1" w:sz="4"/>
          <w:left w:val="single" w:color="d8dee1" w:sz="4"/>
          <w:bottom w:val="single" w:color="d8dee1" w:sz="4"/>
          <w:right w:val="single" w:color="d8dee1" w:sz="4"/>
          <w:insideH w:val="single" w:color="d8dee1" w:sz="4"/>
          <w:insideV w:val="single" w:color="d8dee1" w:sz="4"/>
        </w:tblBorders>
      </w:tblPr>
      <w:tblGrid>
        <w:gridCol w:w="2760"/>
        <w:gridCol w:w="1200"/>
        <w:gridCol w:w="5400"/>
      </w:tblGrid>
      <w:tr>
        <w:trPr>
          <w:tblHeader/>
        </w:trPr>
        <w:tc>
          <w:tcPr>
            <w:tcW w:type="dxa" w:w="2760"/>
            <w:shd w:fill="b3202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Tema</w:t>
            </w:r>
          </w:p>
        </w:tc>
        <w:tc>
          <w:tcPr>
            <w:tcW w:type="dxa" w:w="1200"/>
            <w:shd w:fill="b3202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Frecuencia</w:t>
            </w:r>
          </w:p>
        </w:tc>
        <w:tc>
          <w:tcPr>
            <w:tcW w:type="dxa" w:w="5400"/>
            <w:shd w:fill="b3202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Ejemplos representativos</w:t>
            </w:r>
          </w:p>
        </w:tc>
      </w:tr>
      <w:tr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Irrigación arterial y venosa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≈ 13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Coronarias y sus ramas, gástricas/gastroesofágicas vs. esplénica, mesentérica inferior y sus ramas, arterias renales y suprarrenales.</w:t>
            </w:r>
          </w:p>
        </w:tc>
      </w:tr>
      <w:tr>
        <w:tc>
          <w:tcPr>
            <w:tcW w:type="dxa" w:w="2760"/>
            <w:shd w:fill="f5f2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Orientación en cortes y Anatomage</w:t>
            </w:r>
          </w:p>
        </w:tc>
        <w:tc>
          <w:tcPr>
            <w:tcW w:type="dxa" w:w="1200"/>
            <w:shd w:fill="f5f2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≈ 12</w:t>
            </w:r>
          </w:p>
        </w:tc>
        <w:tc>
          <w:tcPr>
            <w:tcW w:type="dxa" w:w="5400"/>
            <w:shd w:fill="f5f2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Ubicarse en el modelo, diferenciar lados izquierdo/derecho y vistas, correlacionar el corte con la realidad.</w:t>
            </w:r>
          </w:p>
        </w:tc>
      </w:tr>
      <w:tr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Estructuras internas del corazón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≈ 8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Músculos papilares, trabéculas carnosas vs. músculos pectíneos, cuerdas tendinosas, infundíbulo/cono arterioso, triángulo de Koch.</w:t>
            </w:r>
          </w:p>
        </w:tc>
      </w:tr>
      <w:tr>
        <w:tc>
          <w:tcPr>
            <w:tcW w:type="dxa" w:w="2760"/>
            <w:shd w:fill="f5f2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Peritoneo, recesos y mesos</w:t>
            </w:r>
          </w:p>
        </w:tc>
        <w:tc>
          <w:tcPr>
            <w:tcW w:type="dxa" w:w="1200"/>
            <w:shd w:fill="f5f2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≈ 7</w:t>
            </w:r>
          </w:p>
        </w:tc>
        <w:tc>
          <w:tcPr>
            <w:tcW w:type="dxa" w:w="5400"/>
            <w:shd w:fill="f5f2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Saco menor/mayor, por qué el líquido se acumula en ciertos recesos, mesenterio vs. mesocolon, tenias del colon.</w:t>
            </w:r>
          </w:p>
        </w:tc>
      </w:tr>
      <w:tr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Costillas y articulaciones torácicas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≈ 7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Clasificación de costillas (típicas/atípicas), accidentes óseos, uniones y articulaciones del tórax.</w:t>
            </w:r>
          </w:p>
        </w:tc>
      </w:tr>
      <w:tr>
        <w:tc>
          <w:tcPr>
            <w:tcW w:type="dxa" w:w="2760"/>
            <w:shd w:fill="f5f2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Pulmón: caras, lados, hilio</w:t>
            </w:r>
          </w:p>
        </w:tc>
        <w:tc>
          <w:tcPr>
            <w:tcW w:type="dxa" w:w="1200"/>
            <w:shd w:fill="f5f2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≈ 5</w:t>
            </w:r>
          </w:p>
        </w:tc>
        <w:tc>
          <w:tcPr>
            <w:tcW w:type="dxa" w:w="5400"/>
            <w:shd w:fill="f5f2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Cara medial, identificación del hilio, sistema ácigos, recesos pleurales.</w:t>
            </w:r>
          </w:p>
        </w:tc>
      </w:tr>
      <w:tr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Conducción y circulación cardiaca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≈ 4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Haz de His, autoexcitación del nodo sinusal, circulación mayor vs. menor.</w:t>
            </w:r>
          </w:p>
        </w:tc>
      </w:tr>
      <w:tr>
        <w:tc>
          <w:tcPr>
            <w:tcW w:type="dxa" w:w="2760"/>
            <w:shd w:fill="f5f2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Vía urinaria</w:t>
            </w:r>
          </w:p>
        </w:tc>
        <w:tc>
          <w:tcPr>
            <w:tcW w:type="dxa" w:w="1200"/>
            <w:shd w:fill="f5f2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≈ 2</w:t>
            </w:r>
          </w:p>
        </w:tc>
        <w:tc>
          <w:tcPr>
            <w:tcW w:type="dxa" w:w="5400"/>
            <w:shd w:fill="f5f2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Anatomía de la vejiga; ubicación de arterias renales.</w:t>
            </w:r>
          </w:p>
        </w:tc>
      </w:tr>
      <w:tr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Preguntas clínicas de indagación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≈ 3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Daño del diafragma y respiración, acumulación de líquido peritoneal, autoestimulación del nodo (señal de pensamiento crítico).</w:t>
            </w:r>
          </w:p>
        </w:tc>
      </w:tr>
    </w:tbl>
    <w:p>
      <w:pPr>
        <w:pStyle w:val="Heading2"/>
        <w:spacing w:after="90" w:before="220"/>
      </w:pPr>
      <w:r>
        <w:rPr>
          <w:b/>
          <w:bCs/>
          <w:color w:val="b3202c"/>
        </w:rPr>
        <w:t xml:space="preserve">Lectura cualitativa de las dudas</w:t>
      </w:r>
    </w:p>
    <w:p>
      <w:pPr>
        <w:spacing w:after="120" w:line="276"/>
      </w:pPr>
      <w:r>
        <w:rPr>
          <w:b/>
          <w:bCs/>
        </w:rPr>
        <w:t xml:space="preserve">La irrigación es el gran hilo conductor a lo largo de todos los módulos. </w:t>
      </w:r>
      <w:r>
        <w:t xml:space="preserve">No es casual: implica memorizar redes ramificadas con alta variabilidad interindividual y proyectarlas sobre un modelo tridimensional. Las citas muestran que la dificultad no es conceptual sino de reconocimiento en el espécimen:</w:t>
      </w:r>
    </w:p>
    <w:p>
      <w:pPr>
        <w:pBdr>
          <w:left w:val="single" w:color="2e7d5b" w:sz="14" w:space="8"/>
        </w:pBdr>
        <w:spacing w:after="100" w:line="264"/>
        <w:ind w:left="360"/>
      </w:pPr>
      <w:r>
        <w:rPr>
          <w:i/>
          <w:iCs/>
          <w:color w:val="3c3c3c"/>
          <w:sz w:val="19"/>
          <w:szCs w:val="19"/>
        </w:rPr>
        <w:t xml:space="preserve">“Me quedó la duda de las arterias gastroesofágicas anterior y posterior, me confundí si todas salían de la gástrica derecha o de la esplénica. (Digestivo)”</w:t>
      </w:r>
    </w:p>
    <w:p>
      <w:pPr>
        <w:pBdr>
          <w:left w:val="single" w:color="2e7d5b" w:sz="14" w:space="8"/>
        </w:pBdr>
        <w:spacing w:after="100" w:line="264"/>
        <w:ind w:left="360"/>
      </w:pPr>
      <w:r>
        <w:rPr>
          <w:i/>
          <w:iCs/>
          <w:color w:val="3c3c3c"/>
          <w:sz w:val="19"/>
          <w:szCs w:val="19"/>
        </w:rPr>
        <w:t xml:space="preserve">“No entiendo la arteria marginal, ¿es una rama de la mesentérica o es una variación anatómica que une las arterias? (SOI III)”</w:t>
      </w:r>
    </w:p>
    <w:p>
      <w:pPr>
        <w:spacing w:after="120" w:line="276"/>
      </w:pPr>
      <w:r>
        <w:rPr>
          <w:b/>
          <w:bCs/>
        </w:rPr>
        <w:t xml:space="preserve">La orientación espacial es la segunda gran barrera y es donde el Anatomage/AnatoMatch aparece con más fuerza. </w:t>
      </w:r>
      <w:r>
        <w:t xml:space="preserve">El problema recurrente es doble: ubicarse en el corte y distinguir lados/vistas. Es una duda de método más que de contenido, y por eso se resuelve con entrenamiento guiado de la herramienta, no con más teoría:</w:t>
      </w:r>
    </w:p>
    <w:p>
      <w:pPr>
        <w:pBdr>
          <w:left w:val="single" w:color="2e7d5b" w:sz="14" w:space="8"/>
        </w:pBdr>
        <w:spacing w:after="100" w:line="264"/>
        <w:ind w:left="360"/>
      </w:pPr>
      <w:r>
        <w:rPr>
          <w:i/>
          <w:iCs/>
          <w:color w:val="3c3c3c"/>
          <w:sz w:val="19"/>
          <w:szCs w:val="19"/>
        </w:rPr>
        <w:t xml:space="preserve">“Me causó bastante confusión diferenciar los dos lados (izquierdo y derecho) en el Anatomage. (Respiratorio)”</w:t>
      </w:r>
    </w:p>
    <w:p>
      <w:pPr>
        <w:pBdr>
          <w:left w:val="single" w:color="2e7d5b" w:sz="14" w:space="8"/>
        </w:pBdr>
        <w:spacing w:after="100" w:line="264"/>
        <w:ind w:left="360"/>
      </w:pPr>
      <w:r>
        <w:rPr>
          <w:i/>
          <w:iCs/>
          <w:color w:val="3c3c3c"/>
          <w:sz w:val="19"/>
          <w:szCs w:val="19"/>
        </w:rPr>
        <w:t xml:space="preserve">“Sigo sin entender cómo diferenciar una estructura con las líneas o cómo se encuentra la persona ubicada. (SOI III)”</w:t>
      </w:r>
    </w:p>
    <w:p>
      <w:pPr>
        <w:spacing w:after="120" w:line="276"/>
      </w:pPr>
      <w:r>
        <w:rPr>
          <w:b/>
          <w:bCs/>
        </w:rPr>
        <w:t xml:space="preserve">Las estructuras internas finas del corazón y el peritoneo comparten un patrón: </w:t>
      </w:r>
      <w:r>
        <w:t xml:space="preserve">son estructuras que «cobran sentido» solo con el espécimen en la mano, tal como los propios estudiantes reconocen. Esto valida el modelo práctico y, a la vez, explica por qué quienes no logran manipular un buen modelo se quedan con el vacío.</w:t>
      </w:r>
    </w:p>
    <w:p>
      <w:pPr>
        <w:pBdr>
          <w:left w:val="single" w:color="2e7d5b" w:sz="14" w:space="8"/>
        </w:pBdr>
        <w:spacing w:after="100" w:line="264"/>
        <w:ind w:left="360"/>
      </w:pPr>
      <w:r>
        <w:rPr>
          <w:i/>
          <w:iCs/>
          <w:color w:val="3c3c3c"/>
          <w:sz w:val="19"/>
          <w:szCs w:val="19"/>
        </w:rPr>
        <w:t xml:space="preserve">“Al principio estudiarlo me fue complicado… pero al momento de tener un corazón en la mano todo tuvo sentido y ahí sí me fue muchísimo más fácil ubicar sus partes. (Corazón)”</w:t>
      </w:r>
    </w:p>
    <w:p>
      <w:pPr>
        <w:spacing w:after="120" w:line="276"/>
      </w:pPr>
      <w:r>
        <w:rPr>
          <w:b/>
          <w:bCs/>
          <w:color w:val="2e7d5b"/>
        </w:rPr>
        <w:t xml:space="preserve">Vale la pena destacar un signo saludable: </w:t>
      </w:r>
      <w:r>
        <w:t xml:space="preserve">varias «dudas» son en realidad preguntas de razonamiento clínico y fisiológico (efecto de una lesión diafragmática, dinámica del líquido peritoneal, automatismo del nodo sinusal). Son estudiantes que ya trascienden la nomenclatura y conviene alimentarlos con retos adicionales.</w:t>
      </w:r>
    </w:p>
    <w:p>
      <w:r>
        <w:br w:type="page"/>
      </w:r>
    </w:p>
    <w:p>
      <w:pPr>
        <w:pStyle w:val="Heading1"/>
        <w:spacing w:after="120" w:before="280"/>
      </w:pPr>
      <w:r>
        <w:rPr>
          <w:b/>
          <w:bCs/>
          <w:color w:val="1f3a5f"/>
        </w:rPr>
        <w:t xml:space="preserve">5. Sugerencias de mejora — ranking por frecuencia</w:t>
      </w:r>
    </w:p>
    <w:tbl>
      <w:tblPr>
        <w:tblW w:type="dxa" w:w="9360"/>
        <w:tblBorders>
          <w:top w:val="single" w:color="d8dee1" w:sz="4"/>
          <w:left w:val="single" w:color="d8dee1" w:sz="4"/>
          <w:bottom w:val="single" w:color="d8dee1" w:sz="4"/>
          <w:right w:val="single" w:color="d8dee1" w:sz="4"/>
          <w:insideH w:val="single" w:color="d8dee1" w:sz="4"/>
          <w:insideV w:val="single" w:color="d8dee1" w:sz="4"/>
        </w:tblBorders>
      </w:tblPr>
      <w:tblGrid>
        <w:gridCol w:w="2760"/>
        <w:gridCol w:w="1200"/>
        <w:gridCol w:w="5400"/>
      </w:tblGrid>
      <w:tr>
        <w:trPr>
          <w:tblHeader/>
        </w:trPr>
        <w:tc>
          <w:tcPr>
            <w:tcW w:type="dxa" w:w="2760"/>
            <w:shd w:fill="c77d0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Sugerencia</w:t>
            </w:r>
          </w:p>
        </w:tc>
        <w:tc>
          <w:tcPr>
            <w:tcW w:type="dxa" w:w="1200"/>
            <w:shd w:fill="c77d0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Frecuencia</w:t>
            </w:r>
          </w:p>
        </w:tc>
        <w:tc>
          <w:tcPr>
            <w:tcW w:type="dxa" w:w="5400"/>
            <w:shd w:fill="c77d0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Tiempo y rotación por estaciones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≈ 8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Falta tiempo para practicar; grupos que no alcanzan a rotar por todas las estaciones.</w:t>
            </w:r>
          </w:p>
        </w:tc>
      </w:tr>
      <w:tr>
        <w:tc>
          <w:tcPr>
            <w:tcW w:type="dxa" w:w="2760"/>
            <w:shd w:fill="f5f2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Sobrecupo y modelos insuficientes/incompletos</w:t>
            </w:r>
          </w:p>
        </w:tc>
        <w:tc>
          <w:tcPr>
            <w:tcW w:type="dxa" w:w="1200"/>
            <w:shd w:fill="f5f2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≈ 6</w:t>
            </w:r>
          </w:p>
        </w:tc>
        <w:tc>
          <w:tcPr>
            <w:tcW w:type="dxa" w:w="5400"/>
            <w:shd w:fill="f5f2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Demasiadas personas por mesa; grupos sin modelo (p. ej. sin corazón); modelos rotos en SOI III.</w:t>
            </w:r>
          </w:p>
        </w:tc>
      </w:tr>
      <w:tr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Ritmo de la explicación (más lento)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≈ 6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Piden ir más despacio en el anfiteatro; señalan a uno de los docentes por «solo nombrar conceptos rápido».</w:t>
            </w:r>
          </w:p>
        </w:tc>
      </w:tr>
      <w:tr>
        <w:tc>
          <w:tcPr>
            <w:tcW w:type="dxa" w:w="2760"/>
            <w:shd w:fill="f5f2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Recursos visuales adicionales</w:t>
            </w:r>
          </w:p>
        </w:tc>
        <w:tc>
          <w:tcPr>
            <w:tcW w:type="dxa" w:w="1200"/>
            <w:shd w:fill="f5f2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≈ 5</w:t>
            </w:r>
          </w:p>
        </w:tc>
        <w:tc>
          <w:tcPr>
            <w:tcW w:type="dxa" w:w="5400"/>
            <w:shd w:fill="f5f2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Más imágenes, videos, modelos 3D y más casos clínicos.</w:t>
            </w:r>
          </w:p>
        </w:tc>
      </w:tr>
      <w:tr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Audio / claridad de la voz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≈ 4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No se escucha bien; el docente «solo le habla a una parte» del grupo.</w:t>
            </w:r>
          </w:p>
        </w:tc>
      </w:tr>
      <w:tr>
        <w:tc>
          <w:tcPr>
            <w:tcW w:type="dxa" w:w="2760"/>
            <w:shd w:fill="f5f2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Enseñar a usar Anatomage/AnatoMatch</w:t>
            </w:r>
          </w:p>
        </w:tc>
        <w:tc>
          <w:tcPr>
            <w:tcW w:type="dxa" w:w="1200"/>
            <w:shd w:fill="f5f2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≈ 4</w:t>
            </w:r>
          </w:p>
        </w:tc>
        <w:tc>
          <w:tcPr>
            <w:tcW w:type="dxa" w:w="5400"/>
            <w:shd w:fill="f5f2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Solicitud explícita de una inducción a la herramienta (fuerte en SOI III).</w:t>
            </w:r>
          </w:p>
        </w:tc>
      </w:tr>
      <w:tr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Más práctica con cadáver y guía docente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≈ 4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Ir antes al cuerpo real; que los docentes acompañen y den «tips» de cómo estudiar.</w:t>
            </w:r>
          </w:p>
        </w:tc>
      </w:tr>
      <w:tr>
        <w:tc>
          <w:tcPr>
            <w:tcW w:type="dxa" w:w="2760"/>
            <w:shd w:fill="f5f2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Corregir bug de la plataforma</w:t>
            </w:r>
          </w:p>
        </w:tc>
        <w:tc>
          <w:tcPr>
            <w:tcW w:type="dxa" w:w="1200"/>
            <w:shd w:fill="f5f2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5400"/>
            <w:shd w:fill="f5f2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La app «borra las respuestas» al marcar el checklist.</w:t>
            </w:r>
          </w:p>
        </w:tc>
      </w:tr>
      <w:tr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Explicar variaciones anatómicas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Anticipar que la anatomía varía entre especímenes.</w:t>
            </w:r>
          </w:p>
        </w:tc>
      </w:tr>
      <w:tr>
        <w:tc>
          <w:tcPr>
            <w:tcW w:type="dxa" w:w="2760"/>
            <w:shd w:fill="f5f2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Diseño del quiz (sinónimos)</w:t>
            </w:r>
          </w:p>
        </w:tc>
        <w:tc>
          <w:tcPr>
            <w:tcW w:type="dxa" w:w="1200"/>
            <w:shd w:fill="f5f2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5400"/>
            <w:shd w:fill="f5f2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Los sinónimos en el enunciado confunden aunque se domine la estructura.</w:t>
            </w:r>
          </w:p>
        </w:tc>
      </w:tr>
    </w:tbl>
    <w:p>
      <w:pPr>
        <w:pStyle w:val="Heading2"/>
        <w:spacing w:after="90" w:before="220"/>
      </w:pPr>
      <w:r>
        <w:rPr>
          <w:b/>
          <w:bCs/>
          <w:color w:val="b3202c"/>
        </w:rPr>
        <w:t xml:space="preserve">Lectura cualitativa de las sugerencias</w:t>
      </w:r>
    </w:p>
    <w:p>
      <w:pPr>
        <w:spacing w:after="120" w:line="276"/>
      </w:pPr>
      <w:r>
        <w:rPr>
          <w:b/>
          <w:bCs/>
        </w:rPr>
        <w:t xml:space="preserve">Las tres primeras sugerencias son en realidad un mismo cuello de botella logístico visto desde tres ángulos. </w:t>
      </w:r>
      <w:r>
        <w:t xml:space="preserve">Cuando hay sobrecupo en una mesa, la rotación se ralentiza, el tiempo no alcanza y la voz del docente no llega a todos. Atacar la relación estudiantes/modelo por estación probablemente alivie los cuatro síntomas de golpe.</w:t>
      </w:r>
    </w:p>
    <w:p>
      <w:pPr>
        <w:pBdr>
          <w:left w:val="single" w:color="2e7d5b" w:sz="14" w:space="8"/>
        </w:pBdr>
        <w:spacing w:after="100" w:line="264"/>
        <w:ind w:left="360"/>
      </w:pPr>
      <w:r>
        <w:rPr>
          <w:i/>
          <w:iCs/>
          <w:color w:val="3c3c3c"/>
          <w:sz w:val="19"/>
          <w:szCs w:val="19"/>
        </w:rPr>
        <w:t xml:space="preserve">“Poner más modelos en más mesas y dividir en grupos más pequeños; con la cantidad de personas en la mesa muchas veces no era fácil ver las estructuras de cada estación. (Respiratorio)”</w:t>
      </w:r>
    </w:p>
    <w:p>
      <w:pPr>
        <w:pBdr>
          <w:left w:val="single" w:color="2e7d5b" w:sz="14" w:space="8"/>
        </w:pBdr>
        <w:spacing w:after="100" w:line="264"/>
        <w:ind w:left="360"/>
      </w:pPr>
      <w:r>
        <w:rPr>
          <w:i/>
          <w:iCs/>
          <w:color w:val="3c3c3c"/>
          <w:sz w:val="19"/>
          <w:szCs w:val="19"/>
        </w:rPr>
        <w:t xml:space="preserve">“Mi grupo no pudo rotar por una estación y nos quedamos sin poder ver cómo se veía la cavidad torácica en la vida real. (Respiratorio)”</w:t>
      </w:r>
    </w:p>
    <w:p>
      <w:pPr>
        <w:pBdr>
          <w:left w:val="single" w:color="2e7d5b" w:sz="14" w:space="8"/>
        </w:pBdr>
        <w:spacing w:after="100" w:line="264"/>
        <w:ind w:left="360"/>
      </w:pPr>
      <w:r>
        <w:rPr>
          <w:i/>
          <w:iCs/>
          <w:color w:val="3c3c3c"/>
          <w:sz w:val="19"/>
          <w:szCs w:val="19"/>
        </w:rPr>
        <w:t xml:space="preserve">“A mi grupo no le tocó un corazón modelo y por este motivo no pudimos observar el corazón por dentro. (Corazón)”</w:t>
      </w:r>
    </w:p>
    <w:p>
      <w:pPr>
        <w:spacing w:after="120" w:line="276"/>
      </w:pPr>
      <w:r>
        <w:rPr>
          <w:b/>
          <w:bCs/>
        </w:rPr>
        <w:t xml:space="preserve">El frente comunicativo apunta de forma consistente a un docente específico y a un problema de audibilidad del anfiteatro, </w:t>
      </w:r>
      <w:r>
        <w:t xml:space="preserve">no a la metodología. Es una observación puntual, respetuosa y fácil de accionar (proyección de voz, micrófono, verificar que la explicación cubra a todo el grupo).</w:t>
      </w:r>
    </w:p>
    <w:p>
      <w:pPr>
        <w:pBdr>
          <w:left w:val="single" w:color="2e7d5b" w:sz="14" w:space="8"/>
        </w:pBdr>
        <w:spacing w:after="100" w:line="264"/>
        <w:ind w:left="360"/>
      </w:pPr>
      <w:r>
        <w:rPr>
          <w:i/>
          <w:iCs/>
          <w:color w:val="3c3c3c"/>
          <w:sz w:val="19"/>
          <w:szCs w:val="19"/>
        </w:rPr>
        <w:t xml:space="preserve">“Que el doctor del anfiteatro explique más las cosas, no que solo nombre conceptos de forma rápida. (Digestivo)”</w:t>
      </w:r>
    </w:p>
    <w:p>
      <w:pPr>
        <w:spacing w:after="120" w:line="276"/>
      </w:pPr>
      <w:r>
        <w:rPr>
          <w:b/>
          <w:bCs/>
          <w:color w:val="2e7d5b"/>
        </w:rPr>
        <w:t xml:space="preserve">La demanda de inducción al Anatomage es la sugerencia con mayor retorno pedagógico, </w:t>
      </w:r>
      <w:r>
        <w:t xml:space="preserve">porque resuelve simultáneamente la segunda dificultad académica (orientación en cortes). En SOI III es prácticamente unánime que la herramienta es potente pero que faltó enseñar a manejarla.</w:t>
      </w:r>
    </w:p>
    <w:p>
      <w:pPr>
        <w:pBdr>
          <w:left w:val="single" w:color="2e7d5b" w:sz="14" w:space="8"/>
        </w:pBdr>
        <w:spacing w:after="100" w:line="264"/>
        <w:ind w:left="360"/>
      </w:pPr>
      <w:r>
        <w:rPr>
          <w:i/>
          <w:iCs/>
          <w:color w:val="3c3c3c"/>
          <w:sz w:val="19"/>
          <w:szCs w:val="19"/>
        </w:rPr>
        <w:t xml:space="preserve">“Por favor enseñar a usar el AnatoMatch porque no lo entendí y no me ubiqué. (SOI III)”</w:t>
      </w:r>
    </w:p>
    <w:p>
      <w:pPr>
        <w:spacing w:after="120" w:line="276"/>
      </w:pPr>
      <w:r>
        <w:rPr>
          <w:b/>
          <w:bCs/>
          <w:color w:val="b3202c"/>
        </w:rPr>
        <w:t xml:space="preserve">Finalmente, el reporte de pérdida de respuestas es de otra naturaleza: es un defecto técnico, no una preferencia. </w:t>
      </w:r>
      <w:r>
        <w:t xml:space="preserve">Aunque solo aparece explícito en dos comentarios, degrada la experiencia y puede estar detrás de abandonos silenciosos, por lo que se trata como prioridad alta.</w:t>
      </w:r>
    </w:p>
    <w:p>
      <w:pPr>
        <w:pBdr>
          <w:left w:val="single" w:color="2e7d5b" w:sz="14" w:space="8"/>
        </w:pBdr>
        <w:spacing w:after="100" w:line="264"/>
        <w:ind w:left="360"/>
      </w:pPr>
      <w:r>
        <w:rPr>
          <w:i/>
          <w:iCs/>
          <w:color w:val="3c3c3c"/>
          <w:sz w:val="19"/>
          <w:szCs w:val="19"/>
        </w:rPr>
        <w:t xml:space="preserve">“No me gustó que la página eliminara mis respuestas constantemente. / No me gusta que la app elimina cuando uno le da al checklist. (Corazón y Respiratorio)”</w:t>
      </w:r>
    </w:p>
    <w:p>
      <w:pPr>
        <w:pStyle w:val="Heading1"/>
        <w:spacing w:after="120" w:before="280"/>
      </w:pPr>
      <w:r>
        <w:rPr>
          <w:b/>
          <w:bCs/>
          <w:color w:val="1f3a5f"/>
        </w:rPr>
        <w:t xml:space="preserve">6. Análisis cualitativo transversal</w:t>
      </w:r>
    </w:p>
    <w:p>
      <w:pPr>
        <w:spacing w:after="120" w:line="276"/>
      </w:pPr>
      <w:r>
        <w:rPr>
          <w:b/>
          <w:bCs/>
        </w:rPr>
        <w:t xml:space="preserve">Patrón 1 — La brecha está en el «puente» modelo↔realidad, no en la teoría. </w:t>
      </w:r>
      <w:r>
        <w:t xml:space="preserve">Los estudiantes llegan preparados por el portafolio; sus tropiezos aparecen al proyectar lo estudiado sobre el espécimen o el corte. Todo lo que acorte esa distancia (más manipulación, mejor Anatomage, correlación explícita corte–cuerpo) tendrá impacto desproporcionado.</w:t>
      </w:r>
    </w:p>
    <w:p>
      <w:pPr>
        <w:spacing w:after="120" w:line="276"/>
      </w:pPr>
      <w:r>
        <w:rPr>
          <w:b/>
          <w:bCs/>
        </w:rPr>
        <w:t xml:space="preserve">Patrón 2 — La logística condiciona el aprendizaje. </w:t>
      </w:r>
      <w:r>
        <w:t xml:space="preserve">La calidad percibida cae cuando el ratio estudiantes/modelo sube. Es el determinante más mencionado y el más externo al contenido.</w:t>
      </w:r>
    </w:p>
    <w:p>
      <w:pPr>
        <w:spacing w:after="120" w:line="276"/>
      </w:pPr>
      <w:r>
        <w:rPr>
          <w:b/>
          <w:bCs/>
        </w:rPr>
        <w:t xml:space="preserve">Patrón 3 — Autorregulación emergente. </w:t>
      </w:r>
      <w:r>
        <w:t xml:space="preserve">Frases como «debo repasar», «voy a resolver las dudas por mi cuenta» o «la anatomía es repetición, toca encontrar un orden propio» muestran estudiantes que asumen su proceso. Conviene ofrecerles andamiaje (rutas de repaso, tips de estudio) que varios piden explícitamente.</w:t>
      </w:r>
    </w:p>
    <w:p>
      <w:pPr>
        <w:spacing w:after="120" w:line="276"/>
      </w:pPr>
      <w:r>
        <w:rPr>
          <w:b/>
          <w:bCs/>
        </w:rPr>
        <w:t xml:space="preserve">Patrón 4 — El quiz funciona como cierre metacognitivo. </w:t>
      </w:r>
      <w:r>
        <w:t xml:space="preserve">Múltiples estudiantes afirman que la duda se resolvió al hacer el quiz. El instrumento de evaluación está cumpliendo una función formativa, no solo calificadora.</w:t>
      </w:r>
    </w:p>
    <w:p>
      <w:pPr>
        <w:pBdr>
          <w:left w:val="single" w:color="2e7d5b" w:sz="14" w:space="8"/>
        </w:pBdr>
        <w:spacing w:after="100" w:line="264"/>
        <w:ind w:left="360"/>
      </w:pPr>
      <w:r>
        <w:rPr>
          <w:i/>
          <w:iCs/>
          <w:color w:val="3c3c3c"/>
          <w:sz w:val="19"/>
          <w:szCs w:val="19"/>
        </w:rPr>
        <w:t xml:space="preserve">“Antes del quiz tenía dudas, pero al momento de resolverlo pude entender más. (Digestivo)”</w:t>
      </w:r>
    </w:p>
    <w:p>
      <w:pPr>
        <w:spacing w:after="120" w:line="276"/>
      </w:pPr>
      <w:r>
        <w:rPr>
          <w:b/>
          <w:bCs/>
          <w:color w:val="2e7d5b"/>
        </w:rPr>
        <w:t xml:space="preserve">Sentimiento general. </w:t>
      </w:r>
      <w:r>
        <w:t xml:space="preserve">Predominan claramente los comentarios positivos sobre la metodología y el material (los videos son destacados con frecuencia). Las críticas se dirigen a la ejecución logística y a la plataforma, no al diseño pedagógico, lo cual es una señal favorable: los ajustes necesarios son operativos y de bajo costo.</w:t>
      </w:r>
    </w:p>
    <w:p>
      <w:r>
        <w:br w:type="page"/>
      </w:r>
    </w:p>
    <w:p>
      <w:pPr>
        <w:pStyle w:val="Heading1"/>
        <w:spacing w:after="120" w:before="280"/>
      </w:pPr>
      <w:r>
        <w:rPr>
          <w:b/>
          <w:bCs/>
          <w:color w:val="1f3a5f"/>
        </w:rPr>
        <w:t xml:space="preserve">7. Plan de seguimiento y solución</w:t>
      </w:r>
    </w:p>
    <w:p>
      <w:pPr>
        <w:spacing w:after="120" w:line="276"/>
      </w:pPr>
      <w:r>
        <w:t xml:space="preserve">Acciones priorizadas. La prioridad combina frecuencia del reporte e impacto sobre el aprendizaje.</w:t>
      </w:r>
    </w:p>
    <w:tbl>
      <w:tblPr>
        <w:tblW w:type="dxa" w:w="9360"/>
        <w:tblBorders>
          <w:top w:val="single" w:color="d8dee1" w:sz="4"/>
          <w:left w:val="single" w:color="d8dee1" w:sz="4"/>
          <w:bottom w:val="single" w:color="d8dee1" w:sz="4"/>
          <w:right w:val="single" w:color="d8dee1" w:sz="4"/>
          <w:insideH w:val="single" w:color="d8dee1" w:sz="4"/>
          <w:insideV w:val="single" w:color="d8dee1" w:sz="4"/>
        </w:tblBorders>
      </w:tblPr>
      <w:tblGrid>
        <w:gridCol w:w="3000"/>
        <w:gridCol w:w="1100"/>
        <w:gridCol w:w="5260"/>
      </w:tblGrid>
      <w:tr>
        <w:trPr>
          <w:tblHeader/>
        </w:trPr>
        <w:tc>
          <w:tcPr>
            <w:tcW w:type="dxa" w:w="3000"/>
            <w:shd w:fill="2e7d5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Acción</w:t>
            </w:r>
          </w:p>
        </w:tc>
        <w:tc>
          <w:tcPr>
            <w:tcW w:type="dxa" w:w="1100"/>
            <w:shd w:fill="2e7d5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  <w:tc>
          <w:tcPr>
            <w:tcW w:type="dxa" w:w="5260"/>
            <w:shd w:fill="2e7d5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Cómo abordarla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Corregir la pérdida de respuestas al marcar checklist (guardado/estado)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Alta</w:t>
            </w:r>
          </w:p>
        </w:tc>
        <w:tc>
          <w:tcPr>
            <w:tcW w:type="dxa" w:w="52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Revisar la lógica de guardado del checklist en la plataforma; asegurar persistencia por autoguardado. Es un defecto, no una preferencia.</w:t>
            </w:r>
          </w:p>
        </w:tc>
      </w:tr>
      <w:tr>
        <w:tc>
          <w:tcPr>
            <w:tcW w:type="dxa" w:w="3000"/>
            <w:shd w:fill="f5f2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Reducir el ratio estudiantes/modelo por estación</w:t>
            </w:r>
          </w:p>
        </w:tc>
        <w:tc>
          <w:tcPr>
            <w:tcW w:type="dxa" w:w="1100"/>
            <w:shd w:fill="f5f2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Alta</w:t>
            </w:r>
          </w:p>
        </w:tc>
        <w:tc>
          <w:tcPr>
            <w:tcW w:type="dxa" w:w="5260"/>
            <w:shd w:fill="f5f2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Más modelos por mesa o grupos más pequeños; garantizar que ningún grupo quede sin espécimen clave (p. ej. corazón).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Blindar el tiempo de rotación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Alta</w:t>
            </w:r>
          </w:p>
        </w:tc>
        <w:tc>
          <w:tcPr>
            <w:tcW w:type="dxa" w:w="52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Cronometrar estaciones y asegurar que todos los grupos completen el circuito; contingencia para estaciones cuello de botella.</w:t>
            </w:r>
          </w:p>
        </w:tc>
      </w:tr>
      <w:tr>
        <w:tc>
          <w:tcPr>
            <w:tcW w:type="dxa" w:w="3000"/>
            <w:shd w:fill="f5f2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Inducción guiada al Anatomage/AnatoMatch</w:t>
            </w:r>
          </w:p>
        </w:tc>
        <w:tc>
          <w:tcPr>
            <w:tcW w:type="dxa" w:w="1100"/>
            <w:shd w:fill="f5f2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Alta</w:t>
            </w:r>
          </w:p>
        </w:tc>
        <w:tc>
          <w:tcPr>
            <w:tcW w:type="dxa" w:w="5260"/>
            <w:shd w:fill="f5f2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Mini-tutorial (orientación, planos, lados/vistas, cómo leer las líneas) al inicio de SOI III y como video en el portafolio.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Ajustar ritmo y audibilidad en el anfiteatro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Media</w:t>
            </w:r>
          </w:p>
        </w:tc>
        <w:tc>
          <w:tcPr>
            <w:tcW w:type="dxa" w:w="52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Retroalimentar al docente señalado; usar micrófono/proyección de voz; confirmar que la explicación alcance a todo el grupo.</w:t>
            </w:r>
          </w:p>
        </w:tc>
      </w:tr>
      <w:tr>
        <w:tc>
          <w:tcPr>
            <w:tcW w:type="dxa" w:w="3000"/>
            <w:shd w:fill="f5f2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Reforzar irrigación con material dirigido</w:t>
            </w:r>
          </w:p>
        </w:tc>
        <w:tc>
          <w:tcPr>
            <w:tcW w:type="dxa" w:w="1100"/>
            <w:shd w:fill="f5f2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Media</w:t>
            </w:r>
          </w:p>
        </w:tc>
        <w:tc>
          <w:tcPr>
            <w:tcW w:type="dxa" w:w="5260"/>
            <w:shd w:fill="f5f2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Esquemas y video corto por región (coronarias, tronco celíaco/gástricas, mesentérica inferior, arterias renales) resolviendo las confusiones típicas citadas.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Sumar recursos visuales y de variación anatómica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Media</w:t>
            </w:r>
          </w:p>
        </w:tc>
        <w:tc>
          <w:tcPr>
            <w:tcW w:type="dxa" w:w="52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Más imágenes/3D de estructuras difíciles (tenias, hilio, peritoneo) y una nota sobre variabilidad interindividual.</w:t>
            </w:r>
          </w:p>
        </w:tc>
      </w:tr>
      <w:tr>
        <w:tc>
          <w:tcPr>
            <w:tcW w:type="dxa" w:w="3000"/>
            <w:shd w:fill="f5f2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Alimentar a los estudiantes avanzados</w:t>
            </w:r>
          </w:p>
        </w:tc>
        <w:tc>
          <w:tcPr>
            <w:tcW w:type="dxa" w:w="1100"/>
            <w:shd w:fill="f5f2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Baja</w:t>
            </w:r>
          </w:p>
        </w:tc>
        <w:tc>
          <w:tcPr>
            <w:tcW w:type="dxa" w:w="5260"/>
            <w:shd w:fill="f5f2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Preguntas de extensión clínica (diafragma/respiración, líquido peritoneal, automatismo del nodo) para quienes ya dominan la nomenclatura.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Revisar sinónimos en enunciados del quiz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Baja</w:t>
            </w:r>
          </w:p>
        </w:tc>
        <w:tc>
          <w:tcPr>
            <w:tcW w:type="dxa" w:w="52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Homologar terminología o aceptar sinónimos válidos para no penalizar por vocabulario.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1f3a5f"/>
        </w:rPr>
        <w:t xml:space="preserve">8. Anexo — preguntas destacadas para responder en video</w:t>
      </w:r>
    </w:p>
    <w:p>
      <w:pPr>
        <w:spacing w:after="120" w:line="276"/>
      </w:pPr>
      <w:r>
        <w:t xml:space="preserve">Selección de dudas concretas y bien formuladas, útiles para un video de resolución dirigido a todo el grupo: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t xml:space="preserve">¿En qué parte específica queda el cono arterioso, y dónde el triángulo de Koch? (Corazón)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t xml:space="preserve">¿Cómo funciona la autoestimulación del nodo sinusal? (Corazón)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t xml:space="preserve">¿Cómo diferenciar anatómicamente trabéculas carnosas, músculos pectíneos y cuerdas tendinosas? (Corazón)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t xml:space="preserve">Las arterias gastroesofágicas: ¿de qué vaso nacen realmente (gástrica derecha vs. esplénica)? (Digestivo)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t xml:space="preserve">¿Por qué el líquido peritoneal se acumula en ciertos recesos y no en otros? (Digestivo)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t xml:space="preserve">¿Cómo diferenciar la arteria marginal del arco de Riolano? ¿Es rama o variación? (SOI III)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t xml:space="preserve">¿Dónde desemboca la mesentérica inferior y qué arterias irrigan el recto? (SOI III)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t xml:space="preserve">En el corte sagital del Anatomage: ¿por qué se ve la aorta del lado del pulmón derecho y la cava superior del lado izquierdo? (Respiratorio)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t xml:space="preserve">¿Las glándulas suprarrenales son lo mismo que las «capsulares»? ¿Hay una sola vena suprarrenal? (Renal)</w:t>
      </w:r>
    </w:p>
    <w:p>
      <w:pPr>
        <w:spacing w:after="60" w:line="276"/>
      </w:pPr>
      <w:r>
        <w:t xml:space="preserve"/>
      </w:r>
    </w:p>
    <w:p>
      <w:pPr>
        <w:spacing w:after="120" w:line="276"/>
      </w:pPr>
      <w:r>
        <w:rPr>
          <w:i/>
          <w:iCs/>
          <w:color w:val="6b6360"/>
          <w:sz w:val="17"/>
          <w:szCs w:val="17"/>
        </w:rPr>
        <w:t xml:space="preserve">Documento generado automáticamente a partir de los registros del portafolio. Las frecuencias son conteos temáticos aproximados; las citas son textuales.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2026-08-07T14:01:10.602Z</dcterms:created>
  <dcterms:modified xsi:type="dcterms:W3CDTF">2026-08-07T14:01:10.602Z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