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2057400"/>
            <wp:docPr id="1" name="Picture 1"/>
            <wp:cNvGraphicFramePr>
              <a:graphicFrameLocks noChangeAspect="1"/>
            </wp:cNvGraphicFramePr>
            <a:graphic>
              <a:graphicData uri="http://schemas.openxmlformats.org/drawingml/2006/picture">
                <pic:pic>
                  <pic:nvPicPr>
                    <pic:cNvPr id="0" name="polito_logo.png"/>
                    <pic:cNvPicPr/>
                  </pic:nvPicPr>
                  <pic:blipFill>
                    <a:blip r:embed="rId9"/>
                    <a:stretch>
                      <a:fillRect/>
                    </a:stretch>
                  </pic:blipFill>
                  <pic:spPr>
                    <a:xfrm>
                      <a:off x="0" y="0"/>
                      <a:ext cx="2286000" cy="2057400"/>
                    </a:xfrm>
                    <a:prstGeom prst="rect"/>
                  </pic:spPr>
                </pic:pic>
              </a:graphicData>
            </a:graphic>
          </wp:inline>
        </w:drawing>
      </w:r>
    </w:p>
    <w:p>
      <w:pPr>
        <w:spacing w:before="360" w:after="240" w:line="360" w:lineRule="auto"/>
        <w:jc w:val="left"/>
      </w:pPr>
      <w:r>
        <w:rPr>
          <w:rFonts w:ascii="Times New Roman" w:hAnsi="Times New Roman"/>
          <w:b/>
          <w:sz w:val="32"/>
        </w:rPr>
        <w:t>Master Thesis</w:t>
      </w:r>
    </w:p>
    <w:p>
      <w:pPr>
        <w:spacing w:before="480" w:after="480" w:line="360" w:lineRule="auto"/>
        <w:jc w:val="left"/>
      </w:pPr>
      <w:r>
        <w:rPr>
          <w:rFonts w:ascii="Times New Roman" w:hAnsi="Times New Roman"/>
          <w:b/>
          <w:color w:val="003366"/>
          <w:sz w:val="40"/>
        </w:rPr>
        <w:t>Design and Simulation of</w:t>
        <w:br/>
        <w:t>Front End Auxiliary Drive (FEAD) Belt Systems</w:t>
        <w:br/>
        <w:t>for Ashok Leyland H6 Engines</w:t>
      </w:r>
    </w:p>
    <w:p/>
    <w:p/>
    <w:p/>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sz w:val="22"/>
              </w:rPr>
              <w:t>Tutors:</w:t>
              <w:br/>
              <w:t>Professor Daniela Maffiodo</w:t>
              <w:br/>
              <w:t>Professor Raffaella Sesana</w:t>
            </w:r>
          </w:p>
        </w:tc>
        <w:tc>
          <w:tcPr>
            <w:tcW w:type="dxa" w:w="4500"/>
          </w:tcPr>
          <w:p>
            <w:pPr>
              <w:jc w:val="right"/>
            </w:pPr>
            <w:r>
              <w:rPr>
                <w:rFonts w:ascii="Times New Roman" w:hAnsi="Times New Roman"/>
                <w:sz w:val="22"/>
              </w:rPr>
              <w:t>Candidate:</w:t>
              <w:br/>
              <w:t>Devendra</w:t>
              <w:br/>
              <w:t>Student Number: S264859</w:t>
              <w:br/>
              <w:t>Major: Automotive Engineering</w:t>
            </w:r>
          </w:p>
        </w:tc>
      </w:tr>
    </w:tbl>
    <w:p/>
    <w:p/>
    <w:p/>
    <w:p>
      <w:pPr>
        <w:jc w:val="center"/>
      </w:pPr>
      <w:r>
        <w:rPr>
          <w:rFonts w:ascii="Times New Roman" w:hAnsi="Times New Roman"/>
          <w:sz w:val="22"/>
        </w:rPr>
        <w:t>2026.06</w:t>
      </w:r>
    </w:p>
    <w:p>
      <w:r>
        <w:br w:type="page"/>
      </w:r>
    </w:p>
    <w:p>
      <w:pPr>
        <w:keepNext/>
        <w:spacing w:before="280" w:after="120"/>
      </w:pPr>
      <w:r>
        <w:rPr>
          <w:rFonts w:ascii="Times New Roman" w:hAnsi="Times New Roman"/>
          <w:b/>
          <w:color w:val="003366"/>
          <w:sz w:val="30"/>
        </w:rPr>
        <w:t>Abstract</w:t>
      </w:r>
    </w:p>
    <w:p>
      <w:pPr>
        <w:pBdr>
          <w:bottom w:val="single" w:sz="6" w:space="1" w:color="003366"/>
        </w:pBdr>
      </w:pPr>
    </w:p>
    <w:p>
      <w:pPr>
        <w:spacing w:after="120" w:line="360" w:lineRule="auto"/>
      </w:pPr>
      <w:r>
        <w:rPr>
          <w:rFonts w:ascii="Times New Roman" w:hAnsi="Times New Roman"/>
          <w:sz w:val="22"/>
        </w:rPr>
        <w:t xml:space="preserve">The objective of this thesis is to model, simulate, and validate the Front End Auxiliary Drive (FEAD) belt system developed for the Ashok Leyland H6 heavy-duty diesel and CNG engine families. Serpentine belt drives are critical components in commercial vehicles, driving engine cooling fans, high-output alternators, water pumps, A/C compressors, and spring-preloaded tensioners. A modular physical network model is built programmatically within the MATLAB/Simscape environment to eliminate manual connection errors. To independently verify the dynamic slip, tensions, and hub load characteristics, a corresponding multi-physics simulation model is implemented in GT-POWER. </w:t>
      </w:r>
    </w:p>
    <w:p>
      <w:pPr>
        <w:spacing w:after="120" w:line="360" w:lineRule="auto"/>
      </w:pPr>
      <w:r>
        <w:rPr>
          <w:rFonts w:ascii="Times New Roman" w:hAnsi="Times New Roman"/>
          <w:sz w:val="22"/>
        </w:rPr>
        <w:t>Simulation results are validated against Gates accessory belt drive datasheets and C&amp;U bearing life fatigue protocols. Special attention is paid to the water pump bearing assembly, where the equivalent radial load from belt tension and centrifugal reaction is evaluated to estimate composite L10 life. The co-simulation framework demonstrates how coupling 1D fluid-dynamic engine models with Simscape control loops provides a stable, low-overhead design flow that successfully reduces early-stage development time and prototyping costs.</w:t>
      </w:r>
    </w:p>
    <w:p>
      <w:r>
        <w:br w:type="page"/>
      </w:r>
    </w:p>
    <w:p>
      <w:pPr>
        <w:keepNext/>
        <w:spacing w:before="280" w:after="120"/>
      </w:pPr>
      <w:r>
        <w:rPr>
          <w:rFonts w:ascii="Times New Roman" w:hAnsi="Times New Roman"/>
          <w:b/>
          <w:color w:val="003366"/>
          <w:sz w:val="30"/>
        </w:rPr>
        <w:t>Table of Contents</w:t>
      </w:r>
    </w:p>
    <w:p>
      <w:pPr>
        <w:pBdr>
          <w:bottom w:val="single" w:sz="6" w:space="1" w:color="003366"/>
        </w:pBdr>
      </w:pPr>
    </w:p>
    <w:p>
      <w:pPr>
        <w:spacing w:before="40" w:after="40" w:line="360" w:lineRule="auto"/>
        <w:ind w:left="0"/>
        <w:jc w:val="left"/>
      </w:pPr>
      <w:r>
        <w:rPr>
          <w:rFonts w:ascii="Times New Roman" w:hAnsi="Times New Roman"/>
          <w:sz w:val="22"/>
        </w:rPr>
        <w:t>Chapter 1. Introduction</w:t>
      </w:r>
      <w:r>
        <w:rPr>
          <w:rFonts w:ascii="Times New Roman" w:hAnsi="Times New Roman"/>
          <w:sz w:val="22"/>
        </w:rPr>
        <w:t xml:space="preserve"> ................................................ 4</w:t>
      </w:r>
    </w:p>
    <w:p>
      <w:pPr>
        <w:spacing w:before="40" w:after="40" w:line="360" w:lineRule="auto"/>
        <w:ind w:left="432"/>
        <w:jc w:val="left"/>
      </w:pPr>
      <w:r>
        <w:rPr>
          <w:rFonts w:ascii="Times New Roman" w:hAnsi="Times New Roman"/>
          <w:sz w:val="22"/>
        </w:rPr>
        <w:t>1.1 Background &amp; Serpentine Belt Mechanics</w:t>
      </w:r>
      <w:r>
        <w:rPr>
          <w:rFonts w:ascii="Times New Roman" w:hAnsi="Times New Roman"/>
          <w:sz w:val="22"/>
        </w:rPr>
        <w:t xml:space="preserve"> ...................... 4</w:t>
      </w:r>
    </w:p>
    <w:p>
      <w:pPr>
        <w:spacing w:before="40" w:after="40" w:line="360" w:lineRule="auto"/>
        <w:ind w:left="432"/>
        <w:jc w:val="left"/>
      </w:pPr>
      <w:r>
        <w:rPr>
          <w:rFonts w:ascii="Times New Roman" w:hAnsi="Times New Roman"/>
          <w:sz w:val="22"/>
        </w:rPr>
        <w:t>1.2 Introduction of H6 Engine FEAD Project</w:t>
      </w:r>
      <w:r>
        <w:rPr>
          <w:rFonts w:ascii="Times New Roman" w:hAnsi="Times New Roman"/>
          <w:sz w:val="22"/>
        </w:rPr>
        <w:t xml:space="preserve"> ...................... 4</w:t>
      </w:r>
    </w:p>
    <w:p>
      <w:pPr>
        <w:spacing w:before="40" w:after="40" w:line="360" w:lineRule="auto"/>
        <w:ind w:left="432"/>
        <w:jc w:val="left"/>
      </w:pPr>
      <w:r>
        <w:rPr>
          <w:rFonts w:ascii="Times New Roman" w:hAnsi="Times New Roman"/>
          <w:sz w:val="22"/>
        </w:rPr>
        <w:t>1.3 Simscape Physical Network Modeling Solution</w:t>
      </w:r>
      <w:r>
        <w:rPr>
          <w:rFonts w:ascii="Times New Roman" w:hAnsi="Times New Roman"/>
          <w:sz w:val="22"/>
        </w:rPr>
        <w:t xml:space="preserve"> ................. 5</w:t>
      </w:r>
    </w:p>
    <w:p>
      <w:pPr>
        <w:spacing w:before="40" w:after="40" w:line="360" w:lineRule="auto"/>
        <w:ind w:left="432"/>
        <w:jc w:val="left"/>
      </w:pPr>
      <w:r>
        <w:rPr>
          <w:rFonts w:ascii="Times New Roman" w:hAnsi="Times New Roman"/>
          <w:sz w:val="22"/>
        </w:rPr>
        <w:t>1.4 GT-POWER and MATLAB/Simulink Co-Simulation</w:t>
      </w:r>
      <w:r>
        <w:rPr>
          <w:rFonts w:ascii="Times New Roman" w:hAnsi="Times New Roman"/>
          <w:sz w:val="22"/>
        </w:rPr>
        <w:t xml:space="preserve"> .................. 6</w:t>
      </w:r>
    </w:p>
    <w:p>
      <w:pPr>
        <w:spacing w:before="40" w:after="40" w:line="360" w:lineRule="auto"/>
        <w:ind w:left="432"/>
        <w:jc w:val="left"/>
      </w:pPr>
      <w:r>
        <w:rPr>
          <w:rFonts w:ascii="Times New Roman" w:hAnsi="Times New Roman"/>
          <w:sz w:val="22"/>
        </w:rPr>
        <w:t>1.5 Thesis Contributions &amp; Overview</w:t>
      </w:r>
      <w:r>
        <w:rPr>
          <w:rFonts w:ascii="Times New Roman" w:hAnsi="Times New Roman"/>
          <w:sz w:val="22"/>
        </w:rPr>
        <w:t xml:space="preserve"> ............................. 6</w:t>
      </w:r>
    </w:p>
    <w:p>
      <w:pPr>
        <w:spacing w:before="40" w:after="40" w:line="360" w:lineRule="auto"/>
        <w:ind w:left="0"/>
        <w:jc w:val="left"/>
      </w:pPr>
      <w:r>
        <w:rPr>
          <w:rFonts w:ascii="Times New Roman" w:hAnsi="Times New Roman"/>
          <w:sz w:val="22"/>
        </w:rPr>
        <w:t>Chapter 2. Literature Review</w:t>
      </w:r>
      <w:r>
        <w:rPr>
          <w:rFonts w:ascii="Times New Roman" w:hAnsi="Times New Roman"/>
          <w:sz w:val="22"/>
        </w:rPr>
        <w:t xml:space="preserve"> ........................................... 8</w:t>
      </w:r>
    </w:p>
    <w:p>
      <w:pPr>
        <w:spacing w:before="40" w:after="40" w:line="360" w:lineRule="auto"/>
        <w:ind w:left="432"/>
        <w:jc w:val="left"/>
      </w:pPr>
      <w:r>
        <w:rPr>
          <w:rFonts w:ascii="Times New Roman" w:hAnsi="Times New Roman"/>
          <w:sz w:val="22"/>
        </w:rPr>
        <w:t>2.1 FEAD Serpentine Layout Dynamics</w:t>
      </w:r>
      <w:r>
        <w:rPr>
          <w:rFonts w:ascii="Times New Roman" w:hAnsi="Times New Roman"/>
          <w:sz w:val="22"/>
        </w:rPr>
        <w:t xml:space="preserve"> ............................. 8</w:t>
      </w:r>
    </w:p>
    <w:p>
      <w:pPr>
        <w:spacing w:before="40" w:after="40" w:line="360" w:lineRule="auto"/>
        <w:ind w:left="432"/>
        <w:jc w:val="left"/>
      </w:pPr>
      <w:r>
        <w:rPr>
          <w:rFonts w:ascii="Times New Roman" w:hAnsi="Times New Roman"/>
          <w:sz w:val="22"/>
        </w:rPr>
        <w:t>2.2 Review of V-Belt and Poly-V Belt Technologies</w:t>
      </w:r>
      <w:r>
        <w:rPr>
          <w:rFonts w:ascii="Times New Roman" w:hAnsi="Times New Roman"/>
          <w:sz w:val="22"/>
        </w:rPr>
        <w:t xml:space="preserve"> ............... 8</w:t>
      </w:r>
    </w:p>
    <w:p>
      <w:pPr>
        <w:spacing w:before="40" w:after="40" w:line="360" w:lineRule="auto"/>
        <w:ind w:left="432"/>
        <w:jc w:val="left"/>
      </w:pPr>
      <w:r>
        <w:rPr>
          <w:rFonts w:ascii="Times New Roman" w:hAnsi="Times New Roman"/>
          <w:sz w:val="22"/>
        </w:rPr>
        <w:t>2.3 Dynamic Automatic Tensioners &amp; Overrunning Alternator Pulleys</w:t>
      </w:r>
      <w:r>
        <w:rPr>
          <w:rFonts w:ascii="Times New Roman" w:hAnsi="Times New Roman"/>
          <w:sz w:val="22"/>
        </w:rPr>
        <w:t xml:space="preserve">  9</w:t>
      </w:r>
    </w:p>
    <w:p>
      <w:pPr>
        <w:spacing w:before="40" w:after="40" w:line="360" w:lineRule="auto"/>
        <w:ind w:left="432"/>
        <w:jc w:val="left"/>
      </w:pPr>
      <w:r>
        <w:rPr>
          <w:rFonts w:ascii="Times New Roman" w:hAnsi="Times New Roman"/>
          <w:sz w:val="22"/>
        </w:rPr>
        <w:t>2.4 Transient Accessory Loading Characteristics</w:t>
      </w:r>
      <w:r>
        <w:rPr>
          <w:rFonts w:ascii="Times New Roman" w:hAnsi="Times New Roman"/>
          <w:sz w:val="22"/>
        </w:rPr>
        <w:t xml:space="preserve"> ................. 10</w:t>
      </w:r>
    </w:p>
    <w:p>
      <w:pPr>
        <w:spacing w:before="40" w:after="40" w:line="360" w:lineRule="auto"/>
        <w:ind w:left="0"/>
        <w:jc w:val="left"/>
      </w:pPr>
      <w:r>
        <w:rPr>
          <w:rFonts w:ascii="Times New Roman" w:hAnsi="Times New Roman"/>
          <w:sz w:val="22"/>
        </w:rPr>
        <w:t>Chapter 3. Mathematical Modeling of FEAD Systems</w:t>
      </w:r>
      <w:r>
        <w:rPr>
          <w:rFonts w:ascii="Times New Roman" w:hAnsi="Times New Roman"/>
          <w:sz w:val="22"/>
        </w:rPr>
        <w:t xml:space="preserve"> ....................... 11</w:t>
      </w:r>
    </w:p>
    <w:p>
      <w:pPr>
        <w:spacing w:before="40" w:after="40" w:line="360" w:lineRule="auto"/>
        <w:ind w:left="432"/>
        <w:jc w:val="left"/>
      </w:pPr>
      <w:r>
        <w:rPr>
          <w:rFonts w:ascii="Times New Roman" w:hAnsi="Times New Roman"/>
          <w:sz w:val="22"/>
        </w:rPr>
        <w:t>3.1 Capstan Equation for Belt Slip Safety</w:t>
      </w:r>
      <w:r>
        <w:rPr>
          <w:rFonts w:ascii="Times New Roman" w:hAnsi="Times New Roman"/>
          <w:sz w:val="22"/>
        </w:rPr>
        <w:t xml:space="preserve"> ....................... 11</w:t>
      </w:r>
    </w:p>
    <w:p>
      <w:pPr>
        <w:spacing w:before="40" w:after="40" w:line="360" w:lineRule="auto"/>
        <w:ind w:left="432"/>
        <w:jc w:val="left"/>
      </w:pPr>
      <w:r>
        <w:rPr>
          <w:rFonts w:ascii="Times New Roman" w:hAnsi="Times New Roman"/>
          <w:sz w:val="22"/>
        </w:rPr>
        <w:t>3.2 Dynamic Tension Balance and Crankshaft Coupling</w:t>
      </w:r>
      <w:r>
        <w:rPr>
          <w:rFonts w:ascii="Times New Roman" w:hAnsi="Times New Roman"/>
          <w:sz w:val="22"/>
        </w:rPr>
        <w:t xml:space="preserve"> ............. 11</w:t>
      </w:r>
    </w:p>
    <w:p>
      <w:pPr>
        <w:spacing w:before="40" w:after="40" w:line="360" w:lineRule="auto"/>
        <w:ind w:left="432"/>
        <w:jc w:val="left"/>
      </w:pPr>
      <w:r>
        <w:rPr>
          <w:rFonts w:ascii="Times New Roman" w:hAnsi="Times New Roman"/>
          <w:sz w:val="22"/>
        </w:rPr>
        <w:t>3.3 Hub Load Vector Summation on Accessory Shafts</w:t>
      </w:r>
      <w:r>
        <w:rPr>
          <w:rFonts w:ascii="Times New Roman" w:hAnsi="Times New Roman"/>
          <w:sz w:val="22"/>
        </w:rPr>
        <w:t xml:space="preserve"> ............... 12</w:t>
      </w:r>
    </w:p>
    <w:p>
      <w:pPr>
        <w:spacing w:before="40" w:after="40" w:line="360" w:lineRule="auto"/>
        <w:ind w:left="432"/>
        <w:jc w:val="left"/>
      </w:pPr>
      <w:r>
        <w:rPr>
          <w:rFonts w:ascii="Times New Roman" w:hAnsi="Times New Roman"/>
          <w:sz w:val="22"/>
        </w:rPr>
        <w:t>3.4 Rotational Spring-Damper Compliance Formulation</w:t>
      </w:r>
      <w:r>
        <w:rPr>
          <w:rFonts w:ascii="Times New Roman" w:hAnsi="Times New Roman"/>
          <w:sz w:val="22"/>
        </w:rPr>
        <w:t xml:space="preserve"> ............. 12</w:t>
      </w:r>
    </w:p>
    <w:p>
      <w:pPr>
        <w:spacing w:before="40" w:after="40" w:line="360" w:lineRule="auto"/>
        <w:ind w:left="0"/>
        <w:jc w:val="left"/>
      </w:pPr>
      <w:r>
        <w:rPr>
          <w:rFonts w:ascii="Times New Roman" w:hAnsi="Times New Roman"/>
          <w:sz w:val="22"/>
        </w:rPr>
        <w:t>Chapter 4. Simscape Physical Network Implementation</w:t>
      </w:r>
      <w:r>
        <w:rPr>
          <w:rFonts w:ascii="Times New Roman" w:hAnsi="Times New Roman"/>
          <w:sz w:val="22"/>
        </w:rPr>
        <w:t xml:space="preserve"> .................... 14</w:t>
      </w:r>
    </w:p>
    <w:p>
      <w:pPr>
        <w:spacing w:before="40" w:after="40" w:line="360" w:lineRule="auto"/>
        <w:ind w:left="432"/>
        <w:jc w:val="left"/>
      </w:pPr>
      <w:r>
        <w:rPr>
          <w:rFonts w:ascii="Times New Roman" w:hAnsi="Times New Roman"/>
          <w:sz w:val="22"/>
        </w:rPr>
        <w:t>4.1 Subsystem Block Construction</w:t>
      </w:r>
      <w:r>
        <w:rPr>
          <w:rFonts w:ascii="Times New Roman" w:hAnsi="Times New Roman"/>
          <w:sz w:val="22"/>
        </w:rPr>
        <w:t xml:space="preserve"> ................................ 14</w:t>
      </w:r>
    </w:p>
    <w:p>
      <w:pPr>
        <w:spacing w:before="40" w:after="40" w:line="360" w:lineRule="auto"/>
        <w:ind w:left="432"/>
        <w:jc w:val="left"/>
      </w:pPr>
      <w:r>
        <w:rPr>
          <w:rFonts w:ascii="Times New Roman" w:hAnsi="Times New Roman"/>
          <w:sz w:val="22"/>
        </w:rPr>
        <w:t>4.2 Ideal Sensor and Torque Source Port Configuration</w:t>
      </w:r>
      <w:r>
        <w:rPr>
          <w:rFonts w:ascii="Times New Roman" w:hAnsi="Times New Roman"/>
          <w:sz w:val="22"/>
        </w:rPr>
        <w:t xml:space="preserve"> ........... 14</w:t>
      </w:r>
    </w:p>
    <w:p>
      <w:pPr>
        <w:spacing w:before="40" w:after="40" w:line="360" w:lineRule="auto"/>
        <w:ind w:left="432"/>
        <w:jc w:val="left"/>
      </w:pPr>
      <w:r>
        <w:rPr>
          <w:rFonts w:ascii="Times New Roman" w:hAnsi="Times New Roman"/>
          <w:sz w:val="22"/>
        </w:rPr>
        <w:t>4.3 Programmatic Model Construction Script (safe_line.m)</w:t>
      </w:r>
      <w:r>
        <w:rPr>
          <w:rFonts w:ascii="Times New Roman" w:hAnsi="Times New Roman"/>
          <w:sz w:val="22"/>
        </w:rPr>
        <w:t xml:space="preserve"> ........ 15</w:t>
      </w:r>
    </w:p>
    <w:p>
      <w:pPr>
        <w:spacing w:before="40" w:after="40" w:line="360" w:lineRule="auto"/>
        <w:ind w:left="0"/>
        <w:jc w:val="left"/>
      </w:pPr>
      <w:r>
        <w:rPr>
          <w:rFonts w:ascii="Times New Roman" w:hAnsi="Times New Roman"/>
          <w:sz w:val="22"/>
        </w:rPr>
        <w:t>Chapter 5. GT-POWER Model Integration &amp; Co-Simulation</w:t>
      </w:r>
      <w:r>
        <w:rPr>
          <w:rFonts w:ascii="Times New Roman" w:hAnsi="Times New Roman"/>
          <w:sz w:val="22"/>
        </w:rPr>
        <w:t xml:space="preserve"> .................. 17</w:t>
      </w:r>
    </w:p>
    <w:p>
      <w:pPr>
        <w:spacing w:before="40" w:after="40" w:line="360" w:lineRule="auto"/>
        <w:ind w:left="432"/>
        <w:jc w:val="left"/>
      </w:pPr>
      <w:r>
        <w:rPr>
          <w:rFonts w:ascii="Times New Roman" w:hAnsi="Times New Roman"/>
          <w:sz w:val="22"/>
        </w:rPr>
        <w:t>5.1 Layout JSON Export from MATLAB</w:t>
      </w:r>
      <w:r>
        <w:rPr>
          <w:rFonts w:ascii="Times New Roman" w:hAnsi="Times New Roman"/>
          <w:sz w:val="22"/>
        </w:rPr>
        <w:t xml:space="preserve"> .............................. 17</w:t>
      </w:r>
    </w:p>
    <w:p>
      <w:pPr>
        <w:spacing w:before="40" w:after="40" w:line="360" w:lineRule="auto"/>
        <w:ind w:left="432"/>
        <w:jc w:val="left"/>
      </w:pPr>
      <w:r>
        <w:rPr>
          <w:rFonts w:ascii="Times New Roman" w:hAnsi="Times New Roman"/>
          <w:sz w:val="22"/>
        </w:rPr>
        <w:t>5.2 Python GT-API Belt Builder Script</w:t>
      </w:r>
      <w:r>
        <w:rPr>
          <w:rFonts w:ascii="Times New Roman" w:hAnsi="Times New Roman"/>
          <w:sz w:val="22"/>
        </w:rPr>
        <w:t xml:space="preserve"> ........................... 17</w:t>
      </w:r>
    </w:p>
    <w:p>
      <w:pPr>
        <w:spacing w:before="40" w:after="40" w:line="360" w:lineRule="auto"/>
        <w:ind w:left="432"/>
        <w:jc w:val="left"/>
      </w:pPr>
      <w:r>
        <w:rPr>
          <w:rFonts w:ascii="Times New Roman" w:hAnsi="Times New Roman"/>
          <w:sz w:val="22"/>
        </w:rPr>
        <w:t>5.3 GT-LINK Coupled S-Function Verification</w:t>
      </w:r>
      <w:r>
        <w:rPr>
          <w:rFonts w:ascii="Times New Roman" w:hAnsi="Times New Roman"/>
          <w:sz w:val="22"/>
        </w:rPr>
        <w:t xml:space="preserve"> ..................... 18</w:t>
      </w:r>
    </w:p>
    <w:p>
      <w:pPr>
        <w:spacing w:before="40" w:after="40" w:line="360" w:lineRule="auto"/>
        <w:ind w:left="0"/>
        <w:jc w:val="left"/>
      </w:pPr>
      <w:r>
        <w:rPr>
          <w:rFonts w:ascii="Times New Roman" w:hAnsi="Times New Roman"/>
          <w:sz w:val="22"/>
        </w:rPr>
        <w:t>Chapter 6. Design Validation &amp; Results Discussion</w:t>
      </w:r>
      <w:r>
        <w:rPr>
          <w:rFonts w:ascii="Times New Roman" w:hAnsi="Times New Roman"/>
          <w:sz w:val="22"/>
        </w:rPr>
        <w:t xml:space="preserve"> ...................... 19</w:t>
      </w:r>
    </w:p>
    <w:p>
      <w:pPr>
        <w:spacing w:before="40" w:after="40" w:line="360" w:lineRule="auto"/>
        <w:ind w:left="432"/>
        <w:jc w:val="left"/>
      </w:pPr>
      <w:r>
        <w:rPr>
          <w:rFonts w:ascii="Times New Roman" w:hAnsi="Times New Roman"/>
          <w:sz w:val="22"/>
        </w:rPr>
        <w:t>6.1 Belt Tension and Hub Load Results Comparison</w:t>
      </w:r>
      <w:r>
        <w:rPr>
          <w:rFonts w:ascii="Times New Roman" w:hAnsi="Times New Roman"/>
          <w:sz w:val="22"/>
        </w:rPr>
        <w:t xml:space="preserve"> ................ 19</w:t>
      </w:r>
    </w:p>
    <w:p>
      <w:pPr>
        <w:spacing w:before="40" w:after="40" w:line="360" w:lineRule="auto"/>
        <w:ind w:left="432"/>
        <w:jc w:val="left"/>
      </w:pPr>
      <w:r>
        <w:rPr>
          <w:rFonts w:ascii="Times New Roman" w:hAnsi="Times New Roman"/>
          <w:sz w:val="22"/>
        </w:rPr>
        <w:t>6.2 Water Pump L10 Composite Bearing Life Validation</w:t>
      </w:r>
      <w:r>
        <w:rPr>
          <w:rFonts w:ascii="Times New Roman" w:hAnsi="Times New Roman"/>
          <w:sz w:val="22"/>
        </w:rPr>
        <w:t xml:space="preserve"> ............ 20</w:t>
      </w:r>
    </w:p>
    <w:p>
      <w:pPr>
        <w:spacing w:before="40" w:after="40" w:line="360" w:lineRule="auto"/>
        <w:ind w:left="432"/>
        <w:jc w:val="left"/>
      </w:pPr>
      <w:r>
        <w:rPr>
          <w:rFonts w:ascii="Times New Roman" w:hAnsi="Times New Roman"/>
          <w:sz w:val="22"/>
        </w:rPr>
        <w:t>6.3 Frontend Web Dashboard Validation</w:t>
      </w:r>
      <w:r>
        <w:rPr>
          <w:rFonts w:ascii="Times New Roman" w:hAnsi="Times New Roman"/>
          <w:sz w:val="22"/>
        </w:rPr>
        <w:t xml:space="preserve"> ........................... 21</w:t>
      </w:r>
    </w:p>
    <w:p>
      <w:pPr>
        <w:spacing w:before="40" w:after="40" w:line="360" w:lineRule="auto"/>
        <w:ind w:left="0"/>
        <w:jc w:val="left"/>
      </w:pPr>
      <w:r>
        <w:rPr>
          <w:rFonts w:ascii="Times New Roman" w:hAnsi="Times New Roman"/>
          <w:sz w:val="22"/>
        </w:rPr>
        <w:t>Chapter 7. Conclusion and Future Work</w:t>
      </w:r>
      <w:r>
        <w:rPr>
          <w:rFonts w:ascii="Times New Roman" w:hAnsi="Times New Roman"/>
          <w:sz w:val="22"/>
        </w:rPr>
        <w:t xml:space="preserve"> .................................. 22</w:t>
      </w:r>
    </w:p>
    <w:p>
      <w:pPr>
        <w:spacing w:before="40" w:after="40" w:line="360" w:lineRule="auto"/>
        <w:ind w:left="432"/>
        <w:jc w:val="left"/>
      </w:pPr>
      <w:r>
        <w:rPr>
          <w:rFonts w:ascii="Times New Roman" w:hAnsi="Times New Roman"/>
          <w:sz w:val="22"/>
        </w:rPr>
        <w:t>7.1 Conclusion and Technical Recommendations</w:t>
      </w:r>
      <w:r>
        <w:rPr>
          <w:rFonts w:ascii="Times New Roman" w:hAnsi="Times New Roman"/>
          <w:sz w:val="22"/>
        </w:rPr>
        <w:t xml:space="preserve"> .................... 22</w:t>
      </w:r>
    </w:p>
    <w:p>
      <w:pPr>
        <w:spacing w:before="40" w:after="40" w:line="360" w:lineRule="auto"/>
        <w:ind w:left="432"/>
        <w:jc w:val="left"/>
      </w:pPr>
      <w:r>
        <w:rPr>
          <w:rFonts w:ascii="Times New Roman" w:hAnsi="Times New Roman"/>
          <w:sz w:val="22"/>
        </w:rPr>
        <w:t>7.2 Future Work &amp; HIL Testing</w:t>
      </w:r>
      <w:r>
        <w:rPr>
          <w:rFonts w:ascii="Times New Roman" w:hAnsi="Times New Roman"/>
          <w:sz w:val="22"/>
        </w:rPr>
        <w:t xml:space="preserve"> ................................... 22</w:t>
      </w:r>
    </w:p>
    <w:p>
      <w:pPr>
        <w:spacing w:before="40" w:after="40" w:line="360" w:lineRule="auto"/>
        <w:ind w:left="0"/>
        <w:jc w:val="left"/>
      </w:pPr>
      <w:r>
        <w:rPr>
          <w:rFonts w:ascii="Times New Roman" w:hAnsi="Times New Roman"/>
          <w:sz w:val="22"/>
        </w:rPr>
        <w:t xml:space="preserve"> References</w:t>
      </w:r>
      <w:r>
        <w:rPr>
          <w:rFonts w:ascii="Times New Roman" w:hAnsi="Times New Roman"/>
          <w:sz w:val="22"/>
        </w:rPr>
        <w:t xml:space="preserve"> .................................................. 23</w:t>
      </w:r>
    </w:p>
    <w:p>
      <w:r>
        <w:br w:type="page"/>
      </w:r>
    </w:p>
    <w:p>
      <w:pPr>
        <w:keepNext/>
        <w:spacing w:before="280" w:after="120"/>
      </w:pPr>
      <w:r>
        <w:rPr>
          <w:rFonts w:ascii="Times New Roman" w:hAnsi="Times New Roman"/>
          <w:b/>
          <w:color w:val="003366"/>
          <w:sz w:val="30"/>
        </w:rPr>
        <w:t>Chapter 1. Introduction</w:t>
      </w:r>
    </w:p>
    <w:p>
      <w:pPr>
        <w:pBdr>
          <w:bottom w:val="single" w:sz="6" w:space="1" w:color="003366"/>
        </w:pBdr>
      </w:pPr>
    </w:p>
    <w:p>
      <w:pPr>
        <w:keepNext/>
        <w:spacing w:before="280" w:after="120"/>
      </w:pPr>
      <w:r>
        <w:rPr>
          <w:rFonts w:ascii="Times New Roman" w:hAnsi="Times New Roman"/>
          <w:b/>
          <w:color w:val="0066CC"/>
          <w:sz w:val="26"/>
        </w:rPr>
        <w:t>1.1 Background &amp; Serpentine Belt Mechanics</w:t>
      </w:r>
    </w:p>
    <w:p>
      <w:pPr>
        <w:spacing w:after="120" w:line="360" w:lineRule="auto"/>
      </w:pPr>
      <w:r>
        <w:rPr>
          <w:rFonts w:ascii="Times New Roman" w:hAnsi="Times New Roman"/>
          <w:sz w:val="22"/>
        </w:rPr>
        <w:t>In pace with the rapid development of various new technologies of commercial vehicle engines, the accessory drive systems have grown significantly in complexity. Serpentine belt layouts have replaced traditional multi-belt systems due to their space-saving advantages and higher power transmission efficiency. However, a single serpentine belt driving all engine accessories (cooling fan, alternator, water pump, compressor) is subject to complex dynamic coupling. High transient load variations, speed fluctuations, and centrifugal effects can induce belt slippage, noise, and premature bearing failures.</w:t>
      </w:r>
    </w:p>
    <w:p>
      <w:pPr>
        <w:keepNext/>
        <w:spacing w:before="280" w:after="120"/>
      </w:pPr>
      <w:r>
        <w:rPr>
          <w:rFonts w:ascii="Times New Roman" w:hAnsi="Times New Roman"/>
          <w:b/>
          <w:color w:val="0066CC"/>
          <w:sz w:val="26"/>
        </w:rPr>
        <w:t>1.2 Introduction of H6 Engine FEAD Project</w:t>
      </w:r>
    </w:p>
    <w:p>
      <w:pPr>
        <w:spacing w:after="120" w:line="360" w:lineRule="auto"/>
      </w:pPr>
      <w:r>
        <w:rPr>
          <w:rFonts w:ascii="Times New Roman" w:hAnsi="Times New Roman"/>
          <w:sz w:val="22"/>
        </w:rPr>
        <w:t>The project 'Design, Simulation, and Validation of FEAD Belt Systems' focuses on the Ashok Leyland H6 series engines (both diesel and CNG variants, 180hp to 280hp). These heavy-duty powertrains run multiple accessories arranged in a tight packaging space. The 6-pulley FEAD layout includes a Crankshaft driver (CRK), a viscous cooling Fan (FAN), an Idler (IDR), a high-capacity Alternator (ALT), an A/C Compressor (AC), and an automatic Tensioner (TEN). To guarantee structural reliability under varying duty cycles, a rigorous mathematical modeling and simulation pipeline is required to evaluate belt tensions, hub forces, and accessory bearing fatigue life.</w:t>
      </w:r>
    </w:p>
    <w:p>
      <w:pPr>
        <w:keepNext/>
        <w:spacing w:before="280" w:after="120"/>
      </w:pPr>
      <w:r>
        <w:rPr>
          <w:rFonts w:ascii="Times New Roman" w:hAnsi="Times New Roman"/>
          <w:b/>
          <w:color w:val="0066CC"/>
          <w:sz w:val="26"/>
        </w:rPr>
        <w:t>1.3 Simscape Physical Network Modeling Solution</w:t>
      </w:r>
    </w:p>
    <w:p>
      <w:pPr>
        <w:spacing w:after="120" w:line="360" w:lineRule="auto"/>
      </w:pPr>
      <w:r>
        <w:rPr>
          <w:rFonts w:ascii="Times New Roman" w:hAnsi="Times New Roman"/>
          <w:sz w:val="22"/>
        </w:rPr>
        <w:t>Developing code on physical test benches is time-consuming and expensive. While Simulink allows signal-flow control modeling, physical-network modeling in Simscape represents energy flow directly via conserving connections. However, manual block placement and connection wiring frequently lead to port mismatch and reference locking errors. To resolve this, this thesis utilizes a programmatic Simscape model builder. Every block, sensor, and source is instantiated and connected programmatically using custom S-functions, ensuring zero connection warnings and permitting rapid verification of design variants.</w:t>
      </w:r>
    </w:p>
    <w:p>
      <w:pPr>
        <w:jc w:val="center"/>
      </w:pPr>
      <w:r>
        <w:drawing>
          <wp:inline xmlns:a="http://schemas.openxmlformats.org/drawingml/2006/main" xmlns:pic="http://schemas.openxmlformats.org/drawingml/2006/picture">
            <wp:extent cx="5303520" cy="3447288"/>
            <wp:docPr id="2" name="Picture 2"/>
            <wp:cNvGraphicFramePr>
              <a:graphicFrameLocks noChangeAspect="1"/>
            </wp:cNvGraphicFramePr>
            <a:graphic>
              <a:graphicData uri="http://schemas.openxmlformats.org/drawingml/2006/picture">
                <pic:pic>
                  <pic:nvPicPr>
                    <pic:cNvPr id="0" name="fc_thesis_workflow.png"/>
                    <pic:cNvPicPr/>
                  </pic:nvPicPr>
                  <pic:blipFill>
                    <a:blip r:embed="rId10"/>
                    <a:stretch>
                      <a:fillRect/>
                    </a:stretch>
                  </pic:blipFill>
                  <pic:spPr>
                    <a:xfrm>
                      <a:off x="0" y="0"/>
                      <a:ext cx="5303520" cy="3447288"/>
                    </a:xfrm>
                    <a:prstGeom prst="rect"/>
                  </pic:spPr>
                </pic:pic>
              </a:graphicData>
            </a:graphic>
          </wp:inline>
        </w:drawing>
      </w:r>
    </w:p>
    <w:p>
      <w:pPr>
        <w:spacing w:before="40" w:after="160"/>
        <w:jc w:val="center"/>
      </w:pPr>
      <w:r>
        <w:rPr>
          <w:rFonts w:ascii="Times New Roman" w:hAnsi="Times New Roman"/>
          <w:i/>
          <w:color w:val="646464"/>
          <w:sz w:val="20"/>
        </w:rPr>
        <w:t>Figure 1.1: Roadmap flow of the two-month co-simulation and validation workflow.</w:t>
      </w:r>
    </w:p>
    <w:p>
      <w:pPr>
        <w:keepNext/>
        <w:spacing w:before="280" w:after="120"/>
      </w:pPr>
      <w:r>
        <w:rPr>
          <w:rFonts w:ascii="Times New Roman" w:hAnsi="Times New Roman"/>
          <w:b/>
          <w:color w:val="0066CC"/>
          <w:sz w:val="26"/>
        </w:rPr>
        <w:t>1.4 GT-POWER and MATLAB/Simulink Co-Simulation</w:t>
      </w:r>
    </w:p>
    <w:p>
      <w:pPr>
        <w:spacing w:after="120" w:line="360" w:lineRule="auto"/>
      </w:pPr>
      <w:r>
        <w:rPr>
          <w:rFonts w:ascii="Times New Roman" w:hAnsi="Times New Roman"/>
          <w:sz w:val="22"/>
        </w:rPr>
        <w:t>GT-POWER (part of GT-Suite) is a commercial engine simulation tool commonly used to forecast engine characteristics in steady-state and transient conditions. Simscape excels in mechanical systems but lacks detailed fluid-dynamic models. In this research, a co-simulation coupling method is developed using the GT-LINK block in Simulink. The engine's gas dynamics and accessory torque draw are modeled in GT-POWER, while the belt elastic compliance, tensioner dynamics, and transient controls are modeled in Simulink. This dual-solver coupling provides a highly accurate verification platform.</w:t>
      </w:r>
    </w:p>
    <w:p>
      <w:pPr>
        <w:keepNext/>
        <w:spacing w:before="280" w:after="120"/>
      </w:pPr>
      <w:r>
        <w:rPr>
          <w:rFonts w:ascii="Times New Roman" w:hAnsi="Times New Roman"/>
          <w:b/>
          <w:color w:val="0066CC"/>
          <w:sz w:val="26"/>
        </w:rPr>
        <w:t>1.5 Thesis Contributions &amp; Overview</w:t>
      </w:r>
    </w:p>
    <w:p>
      <w:pPr>
        <w:spacing w:after="120" w:line="360" w:lineRule="auto"/>
      </w:pPr>
      <w:r>
        <w:rPr>
          <w:rFonts w:ascii="Times New Roman" w:hAnsi="Times New Roman"/>
          <w:sz w:val="22"/>
        </w:rPr>
        <w:t>The primary contributions of this thesis include: (1) Formulation of a programmatic Simscape builder script that resolves conserving port warnings; (2) Development of an automated layout exporter script translating Simscape coordinates to a GT-POWER JSON structure; (3) Cross-validation of tensions and hub forces against Gates baseline spec reports; and (4) Integration of ISO 281 L10 composite bearing calculations for the coolant pump. The document is organized into seven chapters covering literature review, mathematical modeling, Simscape and GT implementation, validation, and final recommendations.</w:t>
      </w:r>
    </w:p>
    <w:p>
      <w:r>
        <w:br w:type="page"/>
      </w:r>
    </w:p>
    <w:p>
      <w:pPr>
        <w:keepNext/>
        <w:spacing w:before="280" w:after="120"/>
      </w:pPr>
      <w:r>
        <w:rPr>
          <w:rFonts w:ascii="Times New Roman" w:hAnsi="Times New Roman"/>
          <w:b/>
          <w:color w:val="003366"/>
          <w:sz w:val="30"/>
        </w:rPr>
        <w:t>Chapter 2. Literature Review</w:t>
      </w:r>
    </w:p>
    <w:p>
      <w:pPr>
        <w:pBdr>
          <w:bottom w:val="single" w:sz="6" w:space="1" w:color="003366"/>
        </w:pBdr>
      </w:pPr>
    </w:p>
    <w:p>
      <w:pPr>
        <w:keepNext/>
        <w:spacing w:before="280" w:after="120"/>
      </w:pPr>
      <w:r>
        <w:rPr>
          <w:rFonts w:ascii="Times New Roman" w:hAnsi="Times New Roman"/>
          <w:b/>
          <w:color w:val="0066CC"/>
          <w:sz w:val="26"/>
        </w:rPr>
        <w:t>2.1 FEAD Serpentine Layout Dynamics</w:t>
      </w:r>
    </w:p>
    <w:p>
      <w:pPr>
        <w:spacing w:after="120" w:line="360" w:lineRule="auto"/>
      </w:pPr>
      <w:r>
        <w:rPr>
          <w:rFonts w:ascii="Times New Roman" w:hAnsi="Times New Roman"/>
          <w:sz w:val="22"/>
        </w:rPr>
        <w:t>A typical commercial vehicle serpentine layout features a single continuous belt wrapping around multiple accessories. The layout must balance two contradictory objectives: maximizing wrap angles to prevent slip, and minimizing belt span lengths to avoid flutter and resonance. The placement of the automatic tensioner is critical; it must be located on the slack side, immediately downstream of the crankshaft pulley, to absorb slack and maintain system tension.</w:t>
      </w:r>
    </w:p>
    <w:p>
      <w:pPr>
        <w:keepNext/>
        <w:spacing w:before="280" w:after="120"/>
      </w:pPr>
      <w:r>
        <w:rPr>
          <w:rFonts w:ascii="Times New Roman" w:hAnsi="Times New Roman"/>
          <w:b/>
          <w:color w:val="0066CC"/>
          <w:sz w:val="26"/>
        </w:rPr>
        <w:t>2.2 Review of V-Belt and Poly-V Belt Technologies</w:t>
      </w:r>
    </w:p>
    <w:p>
      <w:pPr>
        <w:spacing w:after="120" w:line="360" w:lineRule="auto"/>
      </w:pPr>
      <w:r>
        <w:rPr>
          <w:rFonts w:ascii="Times New Roman" w:hAnsi="Times New Roman"/>
          <w:sz w:val="22"/>
        </w:rPr>
        <w:t>V-belts rely on wedging action inside pulley grooves to transmit torque, allowing high tension ratios but suffering from bending hysteresis and heat build-up. Modern serpentine systems utilize Poly-V belts (V-ribbed). Poly-V belts combine the high flexibility of flat belts with the positive tracking and wedging action of V-belts. For the Ashok Leyland H6 engine, an 8-rib aramid-cord belt is selected. Aramid fibers offer extremely high tensile modulus and negligible thermal stretch, preserving static preload over long service periods compared to polyester alternatives.</w:t>
      </w:r>
    </w:p>
    <w:p>
      <w:pPr>
        <w:keepNext/>
        <w:spacing w:before="280" w:after="120"/>
      </w:pPr>
      <w:r>
        <w:rPr>
          <w:rFonts w:ascii="Times New Roman" w:hAnsi="Times New Roman"/>
          <w:b/>
          <w:color w:val="0066CC"/>
          <w:sz w:val="26"/>
        </w:rPr>
        <w:t>2.3 Dynamic Automatic Tensioners &amp; Overrunning Alternator Pulleys</w:t>
      </w:r>
    </w:p>
    <w:p>
      <w:pPr>
        <w:spacing w:after="120" w:line="360" w:lineRule="auto"/>
      </w:pPr>
      <w:r>
        <w:rPr>
          <w:rFonts w:ascii="Times New Roman" w:hAnsi="Times New Roman"/>
          <w:sz w:val="22"/>
        </w:rPr>
        <w:t>Automatic spring tensioners use a torsional spring and a friction damper to maintain constant belt tension and damp out transient span oscillations. Overrunning Alternator Pulleys (OAP) or Overrunning Alternator Decouplers (OAD) allow the alternator rotor to free-wheel when the crankshaft decelerates rapidly (e.g., during gear shifts or engine shutdown). Without an OAP, the high inertia of the alternator rotor forces the belt to slide, generating squeal noise and causing extreme tension spikes that accelerate bearing fatigue.</w:t>
      </w:r>
    </w:p>
    <w:p>
      <w:pPr>
        <w:keepNext/>
        <w:spacing w:before="280" w:after="120"/>
      </w:pPr>
      <w:r>
        <w:rPr>
          <w:rFonts w:ascii="Times New Roman" w:hAnsi="Times New Roman"/>
          <w:b/>
          <w:color w:val="0066CC"/>
          <w:sz w:val="26"/>
        </w:rPr>
        <w:t>2.4 Transient Accessory Loading Characteristics</w:t>
      </w:r>
    </w:p>
    <w:p>
      <w:pPr>
        <w:spacing w:after="120" w:line="360" w:lineRule="auto"/>
      </w:pPr>
      <w:r>
        <w:rPr>
          <w:rFonts w:ascii="Times New Roman" w:hAnsi="Times New Roman"/>
          <w:sz w:val="22"/>
        </w:rPr>
        <w:t>Accessory loads consist of steady components (e.g., water pump drag) and highly transient components (e.g., A/C compressor clutch engagement). The radiator cooling fan, driven via a viscous clutch, imposes a load proportional to the square of the fan speed ($T \propto N^2$). The alternator load fluctuates with the electrical demand, peaking during battery charging at low engine speeds. The superposition of these loads during transient acceleration cycles determines the peak dynamic tension in the system.</w:t>
      </w:r>
    </w:p>
    <w:p>
      <w:r>
        <w:br w:type="page"/>
      </w:r>
    </w:p>
    <w:p>
      <w:pPr>
        <w:keepNext/>
        <w:spacing w:before="280" w:after="120"/>
      </w:pPr>
      <w:r>
        <w:rPr>
          <w:rFonts w:ascii="Times New Roman" w:hAnsi="Times New Roman"/>
          <w:b/>
          <w:color w:val="003366"/>
          <w:sz w:val="30"/>
        </w:rPr>
        <w:t>Chapter 3. Mathematical Modeling of FEAD Systems</w:t>
      </w:r>
    </w:p>
    <w:p>
      <w:pPr>
        <w:pBdr>
          <w:bottom w:val="single" w:sz="6" w:space="1" w:color="003366"/>
        </w:pBdr>
      </w:pPr>
    </w:p>
    <w:p>
      <w:pPr>
        <w:keepNext/>
        <w:spacing w:before="280" w:after="120"/>
      </w:pPr>
      <w:r>
        <w:rPr>
          <w:rFonts w:ascii="Times New Roman" w:hAnsi="Times New Roman"/>
          <w:b/>
          <w:color w:val="0066CC"/>
          <w:sz w:val="26"/>
        </w:rPr>
        <w:t>3.1 Capstan Equation for Belt Slip Safety</w:t>
      </w:r>
    </w:p>
    <w:p>
      <w:pPr>
        <w:spacing w:after="120" w:line="360" w:lineRule="auto"/>
      </w:pPr>
      <w:r>
        <w:rPr>
          <w:rFonts w:ascii="Times New Roman" w:hAnsi="Times New Roman"/>
          <w:sz w:val="22"/>
        </w:rPr>
        <w:t>The friction limits of the Poly-V belt wrapping around a pulley are governed by the classic capstan equation. To prevent slippage under dynamic conditions, the ratio of tight-side tension ($T_1$) to slack-side tension ($T_2$) must not exceed the maximum friction limit:</w:t>
      </w:r>
    </w:p>
    <w:p>
      <w:pPr>
        <w:spacing w:after="120" w:line="360" w:lineRule="auto"/>
        <w:ind w:left="576"/>
      </w:pPr>
      <w:r>
        <w:rPr>
          <w:rFonts w:ascii="Times New Roman" w:hAnsi="Times New Roman"/>
          <w:sz w:val="22"/>
        </w:rPr>
        <w:t>T_tight / T_slack  \le  e ^ ( \mu \cdot \theta )</w:t>
      </w:r>
    </w:p>
    <w:p>
      <w:pPr>
        <w:spacing w:after="120" w:line="360" w:lineRule="auto"/>
      </w:pPr>
      <w:r>
        <w:rPr>
          <w:rFonts w:ascii="Times New Roman" w:hAnsi="Times New Roman"/>
          <w:sz w:val="22"/>
        </w:rPr>
        <w:t>Where \mu represents the effective friction coefficient (typically 0.35 for EPDM ribs) and \theta is the wrap angle in radians. The slip safety factor (SF) is defined as:</w:t>
      </w:r>
    </w:p>
    <w:p>
      <w:pPr>
        <w:spacing w:after="120" w:line="360" w:lineRule="auto"/>
        <w:ind w:left="576"/>
      </w:pPr>
      <w:r>
        <w:rPr>
          <w:rFonts w:ascii="Times New Roman" w:hAnsi="Times New Roman"/>
          <w:sz w:val="22"/>
        </w:rPr>
        <w:t>SF  =  \ln(T_tight / T_slack)  /  ( \mu \cdot \theta )</w:t>
      </w:r>
    </w:p>
    <w:p>
      <w:pPr>
        <w:spacing w:after="120" w:line="360" w:lineRule="auto"/>
      </w:pPr>
      <w:r>
        <w:rPr>
          <w:rFonts w:ascii="Times New Roman" w:hAnsi="Times New Roman"/>
          <w:sz w:val="22"/>
        </w:rPr>
        <w:t>A slip safety factor greater than 1.5 is required under all steady-state conditions, while transient excursions down to 1.2 are permitted during clutching events.</w:t>
      </w:r>
    </w:p>
    <w:p>
      <w:pPr>
        <w:keepNext/>
        <w:spacing w:before="280" w:after="120"/>
      </w:pPr>
      <w:r>
        <w:rPr>
          <w:rFonts w:ascii="Times New Roman" w:hAnsi="Times New Roman"/>
          <w:b/>
          <w:color w:val="0066CC"/>
          <w:sz w:val="26"/>
        </w:rPr>
        <w:t>3.2 Dynamic Tension Balance and Crankshaft Coupling</w:t>
      </w:r>
    </w:p>
    <w:p>
      <w:pPr>
        <w:spacing w:after="120" w:line="360" w:lineRule="auto"/>
      </w:pPr>
      <w:r>
        <w:rPr>
          <w:rFonts w:ascii="Times New Roman" w:hAnsi="Times New Roman"/>
          <w:sz w:val="22"/>
        </w:rPr>
        <w:t>The drive torque input from the crankshaft is distributed to each accessory pulley. For any accessory pulley $i$, the torque balance equation is represented by:</w:t>
      </w:r>
    </w:p>
    <w:p>
      <w:pPr>
        <w:spacing w:after="120" w:line="360" w:lineRule="auto"/>
        <w:ind w:left="576"/>
      </w:pPr>
      <w:r>
        <w:rPr>
          <w:rFonts w:ascii="Times New Roman" w:hAnsi="Times New Roman"/>
          <w:sz w:val="22"/>
        </w:rPr>
        <w:t>( T_{in}  -  T_{out} ) \cdot R_i  =  I_i \cdot \frac{d\omega_i}{dt}  +  T_{load, i}</w:t>
      </w:r>
    </w:p>
    <w:p>
      <w:pPr>
        <w:spacing w:after="120" w:line="360" w:lineRule="auto"/>
      </w:pPr>
      <w:r>
        <w:rPr>
          <w:rFonts w:ascii="Times New Roman" w:hAnsi="Times New Roman"/>
          <w:sz w:val="22"/>
        </w:rPr>
        <w:t>Where $R_i$ is the pulley radius, $I_i$ is the rotational inertia of the accessory rotor, and $T_{load, i}$ is the accessory drag torque. The crankshaft driver speed $\omega_{CRK}$ is coupled directly to the engine speed profile.</w:t>
      </w:r>
    </w:p>
    <w:p>
      <w:pPr>
        <w:keepNext/>
        <w:spacing w:before="280" w:after="120"/>
      </w:pPr>
      <w:r>
        <w:rPr>
          <w:rFonts w:ascii="Times New Roman" w:hAnsi="Times New Roman"/>
          <w:b/>
          <w:color w:val="0066CC"/>
          <w:sz w:val="26"/>
        </w:rPr>
        <w:t>3.3 Hub Load Vector Summation on Accessory Shafts</w:t>
      </w:r>
    </w:p>
    <w:p>
      <w:pPr>
        <w:spacing w:after="120" w:line="360" w:lineRule="auto"/>
      </w:pPr>
      <w:r>
        <w:rPr>
          <w:rFonts w:ascii="Times New Roman" w:hAnsi="Times New Roman"/>
          <w:sz w:val="22"/>
        </w:rPr>
        <w:t>The net radial hub load force ($F_{hub}$) acting on each accessory pulley bearing is the vector sum of the tension forces in the incoming and outgoing belt spans. The magnitude is calculated using the law of cosines:</w:t>
      </w:r>
    </w:p>
    <w:p>
      <w:pPr>
        <w:spacing w:after="120" w:line="360" w:lineRule="auto"/>
        <w:ind w:left="576"/>
      </w:pPr>
      <w:r>
        <w:rPr>
          <w:rFonts w:ascii="Times New Roman" w:hAnsi="Times New Roman"/>
          <w:sz w:val="22"/>
        </w:rPr>
        <w:t>F_{hub}  =  \sqrt{ T_{in}^2  +  T_{out}^2  +  2 \cdot T_{in} \cdot T_{out} \cdot \cos(\pi - \theta_{wrap}) }</w:t>
      </w:r>
    </w:p>
    <w:p>
      <w:pPr>
        <w:spacing w:after="120" w:line="360" w:lineRule="auto"/>
      </w:pPr>
      <w:r>
        <w:rPr>
          <w:rFonts w:ascii="Times New Roman" w:hAnsi="Times New Roman"/>
          <w:sz w:val="22"/>
        </w:rPr>
        <w:t>This radial force is a primary input for estimating the fatigue life of the accessory support bearings.</w:t>
      </w:r>
    </w:p>
    <w:p>
      <w:pPr>
        <w:keepNext/>
        <w:spacing w:before="280" w:after="120"/>
      </w:pPr>
      <w:r>
        <w:rPr>
          <w:rFonts w:ascii="Times New Roman" w:hAnsi="Times New Roman"/>
          <w:b/>
          <w:color w:val="0066CC"/>
          <w:sz w:val="26"/>
        </w:rPr>
        <w:t>3.4 Rotational Spring-Damper Compliance Formulation</w:t>
      </w:r>
    </w:p>
    <w:p>
      <w:pPr>
        <w:spacing w:after="120" w:line="360" w:lineRule="auto"/>
      </w:pPr>
      <w:r>
        <w:rPr>
          <w:rFonts w:ascii="Times New Roman" w:hAnsi="Times New Roman"/>
          <w:sz w:val="22"/>
        </w:rPr>
        <w:t>The belt stretch between adjacent pulleys is modeled as a torsional spring-damper compliance. The axial stiffness of the belt span is given by $k_{axial} = EA / L_{span}$, where $EA$ is the belt tensile modulus ($120,000\text{ N}$) and $L_{span}$ is the free span length. The equivalent torsional spring rate ($k_{tors}$) for a pulley of radius $R$ is:</w:t>
      </w:r>
    </w:p>
    <w:p>
      <w:pPr>
        <w:spacing w:after="120" w:line="360" w:lineRule="auto"/>
        <w:ind w:left="576"/>
      </w:pPr>
      <w:r>
        <w:rPr>
          <w:rFonts w:ascii="Times New Roman" w:hAnsi="Times New Roman"/>
          <w:sz w:val="22"/>
        </w:rPr>
        <w:t>k_{tors}  =  k_{axial} \cdot R^2</w:t>
      </w:r>
    </w:p>
    <w:p>
      <w:pPr>
        <w:spacing w:after="120" w:line="360" w:lineRule="auto"/>
      </w:pPr>
      <w:r>
        <w:rPr>
          <w:rFonts w:ascii="Times New Roman" w:hAnsi="Times New Roman"/>
          <w:sz w:val="22"/>
        </w:rPr>
        <w:t>A parallel torsional damper ($c_{tors}$) represents material damping, preventing high-frequency numerical oscillations during solver execution.</w:t>
      </w:r>
    </w:p>
    <w:p>
      <w:r>
        <w:br w:type="page"/>
      </w:r>
    </w:p>
    <w:p>
      <w:pPr>
        <w:keepNext/>
        <w:spacing w:before="280" w:after="120"/>
      </w:pPr>
      <w:r>
        <w:rPr>
          <w:rFonts w:ascii="Times New Roman" w:hAnsi="Times New Roman"/>
          <w:b/>
          <w:color w:val="003366"/>
          <w:sz w:val="30"/>
        </w:rPr>
        <w:t>Chapter 4. Simscape Physical Network Implementation</w:t>
      </w:r>
    </w:p>
    <w:p>
      <w:pPr>
        <w:pBdr>
          <w:bottom w:val="single" w:sz="6" w:space="1" w:color="003366"/>
        </w:pBdr>
      </w:pPr>
    </w:p>
    <w:p>
      <w:pPr>
        <w:keepNext/>
        <w:spacing w:before="280" w:after="120"/>
      </w:pPr>
      <w:r>
        <w:rPr>
          <w:rFonts w:ascii="Times New Roman" w:hAnsi="Times New Roman"/>
          <w:b/>
          <w:color w:val="0066CC"/>
          <w:sz w:val="26"/>
        </w:rPr>
        <w:t>4.1 Subsystem Block Construction</w:t>
      </w:r>
    </w:p>
    <w:p>
      <w:pPr>
        <w:spacing w:after="120" w:line="360" w:lineRule="auto"/>
      </w:pPr>
      <w:r>
        <w:rPr>
          <w:rFonts w:ascii="Times New Roman" w:hAnsi="Times New Roman"/>
          <w:sz w:val="22"/>
        </w:rPr>
        <w:t>In Simscape, physical systems are modeled using blocks representing physical components. Each accessory in the H6 FEAD system is grouped into a self-contained subsystem containing: (1) a Rotational Inertia block representing rotor mass; (2) an Ideal Rotational Motion Sensor; (3) a 1-D Lookup Table mapping speed to accessory torque; (4) an Ideal Torque Source; and (5) Rotational Spring and Damper blocks representing belt compliance. This modular structure allows easy expansion or reconfiguration of the belt path.</w:t>
      </w:r>
    </w:p>
    <w:p>
      <w:pPr>
        <w:keepNext/>
        <w:spacing w:before="280" w:after="120"/>
      </w:pPr>
      <w:r>
        <w:rPr>
          <w:rFonts w:ascii="Times New Roman" w:hAnsi="Times New Roman"/>
          <w:b/>
          <w:color w:val="0066CC"/>
          <w:sz w:val="26"/>
        </w:rPr>
        <w:t>4.2 Ideal Sensor and Torque Source Port Configuration</w:t>
      </w:r>
    </w:p>
    <w:p>
      <w:pPr>
        <w:spacing w:after="120" w:line="360" w:lineRule="auto"/>
      </w:pPr>
      <w:r>
        <w:rPr>
          <w:rFonts w:ascii="Times New Roman" w:hAnsi="Times New Roman"/>
          <w:sz w:val="22"/>
        </w:rPr>
        <w:t>A major source of compilation errors in physical network modeling is the incorrect connection of conserving ports. To resolve this, the port layout for each block was standardized based on physical domains:</w:t>
      </w:r>
    </w:p>
    <w:p>
      <w:pPr>
        <w:pStyle w:val="ListBullet"/>
        <w:spacing w:before="40" w:after="40"/>
      </w:pPr>
      <w:r>
        <w:rPr>
          <w:rFonts w:ascii="Times New Roman" w:hAnsi="Times New Roman"/>
          <w:b/>
        </w:rPr>
        <w:t xml:space="preserve">Ideal Rotational Motion Sensor: </w:t>
      </w:r>
      <w:r>
        <w:rPr>
          <w:rFonts w:ascii="Times New Roman" w:hAnsi="Times New Roman"/>
        </w:rPr>
        <w:t>LConn 1 is reference conserving port 'C' (connected to GND). RConn 1 is conserving measurement port 'R' (connected to the inertia node). RConn 2 is the physical signal speed output 'W'.</w:t>
      </w:r>
    </w:p>
    <w:p>
      <w:pPr>
        <w:pStyle w:val="ListBullet"/>
        <w:spacing w:before="40" w:after="40"/>
      </w:pPr>
      <w:r>
        <w:rPr>
          <w:rFonts w:ascii="Times New Roman" w:hAnsi="Times New Roman"/>
          <w:b/>
        </w:rPr>
        <w:t xml:space="preserve">Ideal Torque Source (Load): </w:t>
      </w:r>
      <w:r>
        <w:rPr>
          <w:rFonts w:ascii="Times New Roman" w:hAnsi="Times New Roman"/>
        </w:rPr>
        <w:t>LConn 1 is conserving reference port 'C' (connected to GND). RConn 1 is physical signal control port 'S' (connected to the torque LUT output). RConn 2 is conserving driving port 'R' (connected to the inertia node).</w:t>
      </w:r>
    </w:p>
    <w:p>
      <w:pPr>
        <w:pStyle w:val="ListBullet"/>
        <w:spacing w:before="40" w:after="40"/>
      </w:pPr>
      <w:r>
        <w:rPr>
          <w:rFonts w:ascii="Times New Roman" w:hAnsi="Times New Roman"/>
          <w:b/>
        </w:rPr>
        <w:t xml:space="preserve">Inertia block: </w:t>
      </w:r>
      <w:r>
        <w:rPr>
          <w:rFonts w:ascii="Times New Roman" w:hAnsi="Times New Roman"/>
        </w:rPr>
        <w:t>Only contains a single conserving port 'I' represented as LConn 1.</w:t>
      </w:r>
    </w:p>
    <w:p>
      <w:pPr>
        <w:keepNext/>
        <w:spacing w:before="280" w:after="120"/>
      </w:pPr>
      <w:r>
        <w:rPr>
          <w:rFonts w:ascii="Times New Roman" w:hAnsi="Times New Roman"/>
          <w:b/>
          <w:color w:val="0066CC"/>
          <w:sz w:val="26"/>
        </w:rPr>
        <w:t>4.3 Programmatic Model Construction Script (safe_line.m)</w:t>
      </w:r>
    </w:p>
    <w:p>
      <w:pPr>
        <w:spacing w:after="120" w:line="360" w:lineRule="auto"/>
      </w:pPr>
      <w:r>
        <w:rPr>
          <w:rFonts w:ascii="Times New Roman" w:hAnsi="Times New Roman"/>
          <w:sz w:val="22"/>
        </w:rPr>
        <w:t>To prevent manual connection errors, the `build_FEAD_model.m` script uses a custom MATLAB function called `safe_line`. This function queries the block port handles programmatically and establishes the connections using `add_line`. The execution flow of the model building process is outlined in Figure 4.1.</w:t>
      </w:r>
    </w:p>
    <w:p>
      <w:pPr>
        <w:jc w:val="center"/>
      </w:pPr>
      <w:r>
        <w:drawing>
          <wp:inline xmlns:a="http://schemas.openxmlformats.org/drawingml/2006/main" xmlns:pic="http://schemas.openxmlformats.org/drawingml/2006/picture">
            <wp:extent cx="4389120" cy="3566160"/>
            <wp:docPr id="3" name="Picture 3"/>
            <wp:cNvGraphicFramePr>
              <a:graphicFrameLocks noChangeAspect="1"/>
            </wp:cNvGraphicFramePr>
            <a:graphic>
              <a:graphicData uri="http://schemas.openxmlformats.org/drawingml/2006/picture">
                <pic:pic>
                  <pic:nvPicPr>
                    <pic:cNvPr id="0" name="fc_thesis_code.png"/>
                    <pic:cNvPicPr/>
                  </pic:nvPicPr>
                  <pic:blipFill>
                    <a:blip r:embed="rId11"/>
                    <a:stretch>
                      <a:fillRect/>
                    </a:stretch>
                  </pic:blipFill>
                  <pic:spPr>
                    <a:xfrm>
                      <a:off x="0" y="0"/>
                      <a:ext cx="4389120" cy="3566160"/>
                    </a:xfrm>
                    <a:prstGeom prst="rect"/>
                  </pic:spPr>
                </pic:pic>
              </a:graphicData>
            </a:graphic>
          </wp:inline>
        </w:drawing>
      </w:r>
    </w:p>
    <w:p>
      <w:pPr>
        <w:spacing w:before="40" w:after="160"/>
        <w:jc w:val="center"/>
      </w:pPr>
      <w:r>
        <w:rPr>
          <w:rFonts w:ascii="Times New Roman" w:hAnsi="Times New Roman"/>
          <w:i/>
          <w:color w:val="646464"/>
          <w:sz w:val="20"/>
        </w:rPr>
        <w:t>Figure 4.1: MATLAB programmatic Simscape model builder architecture.</w:t>
      </w:r>
    </w:p>
    <w:p>
      <w:r>
        <w:br w:type="page"/>
      </w:r>
    </w:p>
    <w:p>
      <w:pPr>
        <w:keepNext/>
        <w:spacing w:before="280" w:after="120"/>
      </w:pPr>
      <w:r>
        <w:rPr>
          <w:rFonts w:ascii="Times New Roman" w:hAnsi="Times New Roman"/>
          <w:b/>
          <w:color w:val="003366"/>
          <w:sz w:val="30"/>
        </w:rPr>
        <w:t>Chapter 5. GT-POWER Model Integration &amp; Co-Simulation</w:t>
      </w:r>
    </w:p>
    <w:p>
      <w:pPr>
        <w:pBdr>
          <w:bottom w:val="single" w:sz="6" w:space="1" w:color="003366"/>
        </w:pBdr>
      </w:pPr>
    </w:p>
    <w:p>
      <w:pPr>
        <w:keepNext/>
        <w:spacing w:before="280" w:after="120"/>
      </w:pPr>
      <w:r>
        <w:rPr>
          <w:rFonts w:ascii="Times New Roman" w:hAnsi="Times New Roman"/>
          <w:b/>
          <w:color w:val="0066CC"/>
          <w:sz w:val="26"/>
        </w:rPr>
        <w:t>5.1 Layout JSON Export from MATLAB</w:t>
      </w:r>
    </w:p>
    <w:p>
      <w:pPr>
        <w:spacing w:after="120" w:line="360" w:lineRule="auto"/>
      </w:pPr>
      <w:r>
        <w:rPr>
          <w:rFonts w:ascii="Times New Roman" w:hAnsi="Times New Roman"/>
          <w:sz w:val="22"/>
        </w:rPr>
        <w:t>To enable independent verification in GT-POWER, the H6 layout details are exported from the MATLAB workspace to a standard JSON file (`fead_layout_export.json`). This JSON contains the coordinates of each pulley, effective diameters, inertias, belt stiffness parameters, and speed-torque curves. This data exchange ensures both Simscape and GT-POWER simulations run with identical physical parameters.</w:t>
      </w:r>
    </w:p>
    <w:p>
      <w:pPr>
        <w:keepNext/>
        <w:spacing w:before="280" w:after="120"/>
      </w:pPr>
      <w:r>
        <w:rPr>
          <w:rFonts w:ascii="Times New Roman" w:hAnsi="Times New Roman"/>
          <w:b/>
          <w:color w:val="0066CC"/>
          <w:sz w:val="26"/>
        </w:rPr>
        <w:t>5.2 Python GT-API Belt Builder Script</w:t>
      </w:r>
    </w:p>
    <w:p>
      <w:pPr>
        <w:spacing w:after="120" w:line="360" w:lineRule="auto"/>
      </w:pPr>
      <w:r>
        <w:rPr>
          <w:rFonts w:ascii="Times New Roman" w:hAnsi="Times New Roman"/>
          <w:sz w:val="22"/>
        </w:rPr>
        <w:t>Using the GT Python API (`gtpyapi`), a builder script `FEAD_GT_Builder.py` reads the JSON layout and programmatically builds the GT-POWER project (`FEAD_H6_BeltDrive.gtm`). The script instantiates the `VRibbedBelt`, `BeltPulley`, and `SpringTensioner` templates, routes the belt path, and sets the accessory load objects. When GT-Suite is not installed, the script falls back to an analytical physics simulation, generating identical output formats.</w:t>
      </w:r>
    </w:p>
    <w:p>
      <w:pPr>
        <w:keepNext/>
        <w:spacing w:before="280" w:after="120"/>
      </w:pPr>
      <w:r>
        <w:rPr>
          <w:rFonts w:ascii="Times New Roman" w:hAnsi="Times New Roman"/>
          <w:b/>
          <w:color w:val="0066CC"/>
          <w:sz w:val="26"/>
        </w:rPr>
        <w:t>5.3 GT-LINK Coupled S-Function Verification</w:t>
      </w:r>
    </w:p>
    <w:p>
      <w:pPr>
        <w:spacing w:after="120" w:line="360" w:lineRule="auto"/>
      </w:pPr>
      <w:r>
        <w:rPr>
          <w:rFonts w:ascii="Times New Roman" w:hAnsi="Times New Roman"/>
          <w:sz w:val="22"/>
        </w:rPr>
        <w:t>For co-simulation, the GT-LINK block is added to the Simulink model. The GT-LINK S-function acts as a bidirectional communication bridge. At each communication interval ($1</w:t>
        <w:tab/>
        <w:t>ext{ ms}$), Simulink sends the current engine speed and accessory control states to GT-POWER, and GT-POWER returns the computed belt tensions and hub forces to Simulink. This coupled approach leverages the detailed engine combustion modeling of GT-POWER and the control-loop flexibility of Simulink.</w:t>
      </w:r>
    </w:p>
    <w:p/>
    <w:p>
      <w:pPr>
        <w:jc w:val="center"/>
      </w:pPr>
      <w:r>
        <w:drawing>
          <wp:inline xmlns:a="http://schemas.openxmlformats.org/drawingml/2006/main" xmlns:pic="http://schemas.openxmlformats.org/drawingml/2006/picture">
            <wp:extent cx="3657600" cy="6085755"/>
            <wp:docPr id="4" name="Picture 4"/>
            <wp:cNvGraphicFramePr>
              <a:graphicFrameLocks noChangeAspect="1"/>
            </wp:cNvGraphicFramePr>
            <a:graphic>
              <a:graphicData uri="http://schemas.openxmlformats.org/drawingml/2006/picture">
                <pic:pic>
                  <pic:nvPicPr>
                    <pic:cNvPr id="0" name="fead_notes_ref.png"/>
                    <pic:cNvPicPr/>
                  </pic:nvPicPr>
                  <pic:blipFill>
                    <a:blip r:embed="rId12"/>
                    <a:stretch>
                      <a:fillRect/>
                    </a:stretch>
                  </pic:blipFill>
                  <pic:spPr>
                    <a:xfrm>
                      <a:off x="0" y="0"/>
                      <a:ext cx="3657600" cy="6085755"/>
                    </a:xfrm>
                    <a:prstGeom prst="rect"/>
                  </pic:spPr>
                </pic:pic>
              </a:graphicData>
            </a:graphic>
          </wp:inline>
        </w:drawing>
      </w:r>
    </w:p>
    <w:p>
      <w:pPr>
        <w:spacing w:before="40" w:after="160"/>
        <w:jc w:val="center"/>
      </w:pPr>
      <w:r>
        <w:rPr>
          <w:rFonts w:ascii="Times New Roman" w:hAnsi="Times New Roman"/>
          <w:i/>
          <w:color w:val="646464"/>
          <w:sz w:val="20"/>
        </w:rPr>
        <w:t>Figure 5.1: Reference layout and coordinates sketch from the design data notebook.</w:t>
      </w:r>
    </w:p>
    <w:p>
      <w:r>
        <w:br w:type="page"/>
      </w:r>
    </w:p>
    <w:p>
      <w:pPr>
        <w:keepNext/>
        <w:spacing w:before="280" w:after="120"/>
      </w:pPr>
      <w:r>
        <w:rPr>
          <w:rFonts w:ascii="Times New Roman" w:hAnsi="Times New Roman"/>
          <w:b/>
          <w:color w:val="003366"/>
          <w:sz w:val="30"/>
        </w:rPr>
        <w:t>Chapter 6. Design Validation &amp; Results Discussion</w:t>
      </w:r>
    </w:p>
    <w:p>
      <w:pPr>
        <w:pBdr>
          <w:bottom w:val="single" w:sz="6" w:space="1" w:color="003366"/>
        </w:pBdr>
      </w:pPr>
    </w:p>
    <w:p>
      <w:pPr>
        <w:keepNext/>
        <w:spacing w:before="280" w:after="120"/>
      </w:pPr>
      <w:r>
        <w:rPr>
          <w:rFonts w:ascii="Times New Roman" w:hAnsi="Times New Roman"/>
          <w:b/>
          <w:color w:val="0066CC"/>
          <w:sz w:val="26"/>
        </w:rPr>
        <w:t>6.1 Belt Tension and Hub Load Results Comparison</w:t>
      </w:r>
    </w:p>
    <w:p>
      <w:pPr>
        <w:spacing w:after="120" w:line="360" w:lineRule="auto"/>
      </w:pPr>
      <w:r>
        <w:rPr>
          <w:rFonts w:ascii="Times New Roman" w:hAnsi="Times New Roman"/>
          <w:sz w:val="22"/>
        </w:rPr>
        <w:t>The FEAD model was simulated under a transient engine speed profile sweeping from $600</w:t>
        <w:tab/>
        <w:t>ext{ RPM}$ to $2,000</w:t>
        <w:tab/>
        <w:t>ext{ RPM}$. The peak hub loads and slip safety factors computed in Simscape and GT-POWER are validated against the Gates design datasheet.</w:t>
      </w:r>
    </w:p>
    <w:tbl>
      <w:tblPr>
        <w:tblStyle w:val="LightShading-Accent1"/>
        <w:tblW w:type="auto" w:w="0"/>
        <w:tblLook w:firstColumn="1" w:firstRow="1" w:lastColumn="0" w:lastRow="0" w:noHBand="0" w:noVBand="1" w:val="04A0"/>
      </w:tblPr>
      <w:tblGrid>
        <w:gridCol w:w="1500"/>
        <w:gridCol w:w="1500"/>
        <w:gridCol w:w="1500"/>
        <w:gridCol w:w="1500"/>
        <w:gridCol w:w="1500"/>
        <w:gridCol w:w="1500"/>
      </w:tblGrid>
      <w:tr>
        <w:tc>
          <w:tcPr>
            <w:tcW w:type="dxa" w:w="1500"/>
            <w:tcMar>
              <w:top w:w="80" w:type="dxa"/>
              <w:bottom w:w="80" w:type="dxa"/>
              <w:left w:w="100" w:type="dxa"/>
              <w:right w:w="100" w:type="dxa"/>
            </w:tcMar>
          </w:tcPr>
          <w:p>
            <w:r>
              <w:rPr>
                <w:b/>
              </w:rPr>
              <w:t>Pulley</w:t>
            </w:r>
          </w:p>
        </w:tc>
        <w:tc>
          <w:tcPr>
            <w:tcW w:type="dxa" w:w="1500"/>
            <w:tcMar>
              <w:top w:w="80" w:type="dxa"/>
              <w:bottom w:w="80" w:type="dxa"/>
              <w:left w:w="100" w:type="dxa"/>
              <w:right w:w="100" w:type="dxa"/>
            </w:tcMar>
          </w:tcPr>
          <w:p>
            <w:r>
              <w:rPr>
                <w:b/>
              </w:rPr>
              <w:t>Gates Baseline (N)</w:t>
            </w:r>
          </w:p>
        </w:tc>
        <w:tc>
          <w:tcPr>
            <w:tcW w:type="dxa" w:w="1500"/>
            <w:tcMar>
              <w:top w:w="80" w:type="dxa"/>
              <w:bottom w:w="80" w:type="dxa"/>
              <w:left w:w="100" w:type="dxa"/>
              <w:right w:w="100" w:type="dxa"/>
            </w:tcMar>
          </w:tcPr>
          <w:p>
            <w:r>
              <w:rPr>
                <w:b/>
              </w:rPr>
              <w:t>Simscape Peak (N)</w:t>
            </w:r>
          </w:p>
        </w:tc>
        <w:tc>
          <w:tcPr>
            <w:tcW w:type="dxa" w:w="1500"/>
            <w:tcMar>
              <w:top w:w="80" w:type="dxa"/>
              <w:bottom w:w="80" w:type="dxa"/>
              <w:left w:w="100" w:type="dxa"/>
              <w:right w:w="100" w:type="dxa"/>
            </w:tcMar>
          </w:tcPr>
          <w:p>
            <w:r>
              <w:rPr>
                <w:b/>
              </w:rPr>
              <w:t>GT-POWER Peak (N)</w:t>
            </w:r>
          </w:p>
        </w:tc>
        <w:tc>
          <w:tcPr>
            <w:tcW w:type="dxa" w:w="1500"/>
            <w:tcMar>
              <w:top w:w="80" w:type="dxa"/>
              <w:bottom w:w="80" w:type="dxa"/>
              <w:left w:w="100" w:type="dxa"/>
              <w:right w:w="100" w:type="dxa"/>
            </w:tcMar>
          </w:tcPr>
          <w:p>
            <w:r>
              <w:rPr>
                <w:b/>
              </w:rPr>
              <w:t>Error (%)</w:t>
            </w:r>
          </w:p>
        </w:tc>
        <w:tc>
          <w:tcPr>
            <w:tcW w:type="dxa" w:w="1500"/>
            <w:tcMar>
              <w:top w:w="80" w:type="dxa"/>
              <w:bottom w:w="80" w:type="dxa"/>
              <w:left w:w="100" w:type="dxa"/>
              <w:right w:w="100" w:type="dxa"/>
            </w:tcMar>
          </w:tcPr>
          <w:p>
            <w:r>
              <w:rPr>
                <w:b/>
              </w:rPr>
              <w:t>Slip SF</w:t>
            </w:r>
          </w:p>
        </w:tc>
      </w:tr>
      <w:tr>
        <w:tc>
          <w:tcPr>
            <w:tcW w:type="dxa" w:w="1500"/>
            <w:tcMar>
              <w:top w:w="80" w:type="dxa"/>
              <w:bottom w:w="80" w:type="dxa"/>
              <w:left w:w="100" w:type="dxa"/>
              <w:right w:w="100" w:type="dxa"/>
            </w:tcMar>
          </w:tcPr>
          <w:p>
            <w:r>
              <w:t>CRK</w:t>
            </w:r>
          </w:p>
        </w:tc>
        <w:tc>
          <w:tcPr>
            <w:tcW w:type="dxa" w:w="1500"/>
            <w:tcMar>
              <w:top w:w="80" w:type="dxa"/>
              <w:bottom w:w="80" w:type="dxa"/>
              <w:left w:w="100" w:type="dxa"/>
              <w:right w:w="100" w:type="dxa"/>
            </w:tcMar>
          </w:tcPr>
          <w:p>
            <w:r>
              <w:t>2658.9</w:t>
            </w:r>
          </w:p>
        </w:tc>
        <w:tc>
          <w:tcPr>
            <w:tcW w:type="dxa" w:w="1500"/>
            <w:tcMar>
              <w:top w:w="80" w:type="dxa"/>
              <w:bottom w:w="80" w:type="dxa"/>
              <w:left w:w="100" w:type="dxa"/>
              <w:right w:w="100" w:type="dxa"/>
            </w:tcMar>
          </w:tcPr>
          <w:p>
            <w:r>
              <w:t>2672.4</w:t>
            </w:r>
          </w:p>
        </w:tc>
        <w:tc>
          <w:tcPr>
            <w:tcW w:type="dxa" w:w="1500"/>
            <w:tcMar>
              <w:top w:w="80" w:type="dxa"/>
              <w:bottom w:w="80" w:type="dxa"/>
              <w:left w:w="100" w:type="dxa"/>
              <w:right w:w="100" w:type="dxa"/>
            </w:tcMar>
          </w:tcPr>
          <w:p>
            <w:r>
              <w:t>2665.2</w:t>
            </w:r>
          </w:p>
        </w:tc>
        <w:tc>
          <w:tcPr>
            <w:tcW w:type="dxa" w:w="1500"/>
            <w:tcMar>
              <w:top w:w="80" w:type="dxa"/>
              <w:bottom w:w="80" w:type="dxa"/>
              <w:left w:w="100" w:type="dxa"/>
              <w:right w:w="100" w:type="dxa"/>
            </w:tcMar>
          </w:tcPr>
          <w:p>
            <w:r>
              <w:t>0.5%</w:t>
            </w:r>
          </w:p>
        </w:tc>
        <w:tc>
          <w:tcPr>
            <w:tcW w:type="dxa" w:w="1500"/>
            <w:tcMar>
              <w:top w:w="80" w:type="dxa"/>
              <w:bottom w:w="80" w:type="dxa"/>
              <w:left w:w="100" w:type="dxa"/>
              <w:right w:w="100" w:type="dxa"/>
            </w:tcMar>
          </w:tcPr>
          <w:p>
            <w:r>
              <w:t>1.82</w:t>
            </w:r>
          </w:p>
        </w:tc>
      </w:tr>
      <w:tr>
        <w:tc>
          <w:tcPr>
            <w:tcW w:type="dxa" w:w="1500"/>
            <w:tcMar>
              <w:top w:w="80" w:type="dxa"/>
              <w:bottom w:w="80" w:type="dxa"/>
              <w:left w:w="100" w:type="dxa"/>
              <w:right w:w="100" w:type="dxa"/>
            </w:tcMar>
          </w:tcPr>
          <w:p>
            <w:r>
              <w:t>FAN</w:t>
            </w:r>
          </w:p>
        </w:tc>
        <w:tc>
          <w:tcPr>
            <w:tcW w:type="dxa" w:w="1500"/>
            <w:tcMar>
              <w:top w:w="80" w:type="dxa"/>
              <w:bottom w:w="80" w:type="dxa"/>
              <w:left w:w="100" w:type="dxa"/>
              <w:right w:w="100" w:type="dxa"/>
            </w:tcMar>
          </w:tcPr>
          <w:p>
            <w:r>
              <w:t>2866.4</w:t>
            </w:r>
          </w:p>
        </w:tc>
        <w:tc>
          <w:tcPr>
            <w:tcW w:type="dxa" w:w="1500"/>
            <w:tcMar>
              <w:top w:w="80" w:type="dxa"/>
              <w:bottom w:w="80" w:type="dxa"/>
              <w:left w:w="100" w:type="dxa"/>
              <w:right w:w="100" w:type="dxa"/>
            </w:tcMar>
          </w:tcPr>
          <w:p>
            <w:r>
              <w:t>2891.1</w:t>
            </w:r>
          </w:p>
        </w:tc>
        <w:tc>
          <w:tcPr>
            <w:tcW w:type="dxa" w:w="1500"/>
            <w:tcMar>
              <w:top w:w="80" w:type="dxa"/>
              <w:bottom w:w="80" w:type="dxa"/>
              <w:left w:w="100" w:type="dxa"/>
              <w:right w:w="100" w:type="dxa"/>
            </w:tcMar>
          </w:tcPr>
          <w:p>
            <w:r>
              <w:t>2878.5</w:t>
            </w:r>
          </w:p>
        </w:tc>
        <w:tc>
          <w:tcPr>
            <w:tcW w:type="dxa" w:w="1500"/>
            <w:tcMar>
              <w:top w:w="80" w:type="dxa"/>
              <w:bottom w:w="80" w:type="dxa"/>
              <w:left w:w="100" w:type="dxa"/>
              <w:right w:w="100" w:type="dxa"/>
            </w:tcMar>
          </w:tcPr>
          <w:p>
            <w:r>
              <w:t>0.8%</w:t>
            </w:r>
          </w:p>
        </w:tc>
        <w:tc>
          <w:tcPr>
            <w:tcW w:type="dxa" w:w="1500"/>
            <w:tcMar>
              <w:top w:w="80" w:type="dxa"/>
              <w:bottom w:w="80" w:type="dxa"/>
              <w:left w:w="100" w:type="dxa"/>
              <w:right w:w="100" w:type="dxa"/>
            </w:tcMar>
          </w:tcPr>
          <w:p>
            <w:r>
              <w:t>2.10</w:t>
            </w:r>
          </w:p>
        </w:tc>
      </w:tr>
      <w:tr>
        <w:tc>
          <w:tcPr>
            <w:tcW w:type="dxa" w:w="1500"/>
            <w:tcMar>
              <w:top w:w="80" w:type="dxa"/>
              <w:bottom w:w="80" w:type="dxa"/>
              <w:left w:w="100" w:type="dxa"/>
              <w:right w:w="100" w:type="dxa"/>
            </w:tcMar>
          </w:tcPr>
          <w:p>
            <w:r>
              <w:t>IDR</w:t>
            </w:r>
          </w:p>
        </w:tc>
        <w:tc>
          <w:tcPr>
            <w:tcW w:type="dxa" w:w="1500"/>
            <w:tcMar>
              <w:top w:w="80" w:type="dxa"/>
              <w:bottom w:w="80" w:type="dxa"/>
              <w:left w:w="100" w:type="dxa"/>
              <w:right w:w="100" w:type="dxa"/>
            </w:tcMar>
          </w:tcPr>
          <w:p>
            <w:r>
              <w:t>1710.1</w:t>
            </w:r>
          </w:p>
        </w:tc>
        <w:tc>
          <w:tcPr>
            <w:tcW w:type="dxa" w:w="1500"/>
            <w:tcMar>
              <w:top w:w="80" w:type="dxa"/>
              <w:bottom w:w="80" w:type="dxa"/>
              <w:left w:w="100" w:type="dxa"/>
              <w:right w:w="100" w:type="dxa"/>
            </w:tcMar>
          </w:tcPr>
          <w:p>
            <w:r>
              <w:t>1722.5</w:t>
            </w:r>
          </w:p>
        </w:tc>
        <w:tc>
          <w:tcPr>
            <w:tcW w:type="dxa" w:w="1500"/>
            <w:tcMar>
              <w:top w:w="80" w:type="dxa"/>
              <w:bottom w:w="80" w:type="dxa"/>
              <w:left w:w="100" w:type="dxa"/>
              <w:right w:w="100" w:type="dxa"/>
            </w:tcMar>
          </w:tcPr>
          <w:p>
            <w:r>
              <w:t>1715.3</w:t>
            </w:r>
          </w:p>
        </w:tc>
        <w:tc>
          <w:tcPr>
            <w:tcW w:type="dxa" w:w="1500"/>
            <w:tcMar>
              <w:top w:w="80" w:type="dxa"/>
              <w:bottom w:w="80" w:type="dxa"/>
              <w:left w:w="100" w:type="dxa"/>
              <w:right w:w="100" w:type="dxa"/>
            </w:tcMar>
          </w:tcPr>
          <w:p>
            <w:r>
              <w:t>0.7%</w:t>
            </w:r>
          </w:p>
        </w:tc>
        <w:tc>
          <w:tcPr>
            <w:tcW w:type="dxa" w:w="1500"/>
            <w:tcMar>
              <w:top w:w="80" w:type="dxa"/>
              <w:bottom w:w="80" w:type="dxa"/>
              <w:left w:w="100" w:type="dxa"/>
              <w:right w:w="100" w:type="dxa"/>
            </w:tcMar>
          </w:tcPr>
          <w:p>
            <w:r>
              <w:t>3.45</w:t>
            </w:r>
          </w:p>
        </w:tc>
      </w:tr>
      <w:tr>
        <w:tc>
          <w:tcPr>
            <w:tcW w:type="dxa" w:w="1500"/>
            <w:tcMar>
              <w:top w:w="80" w:type="dxa"/>
              <w:bottom w:w="80" w:type="dxa"/>
              <w:left w:w="100" w:type="dxa"/>
              <w:right w:w="100" w:type="dxa"/>
            </w:tcMar>
          </w:tcPr>
          <w:p>
            <w:r>
              <w:t>ALT</w:t>
            </w:r>
          </w:p>
        </w:tc>
        <w:tc>
          <w:tcPr>
            <w:tcW w:type="dxa" w:w="1500"/>
            <w:tcMar>
              <w:top w:w="80" w:type="dxa"/>
              <w:bottom w:w="80" w:type="dxa"/>
              <w:left w:w="100" w:type="dxa"/>
              <w:right w:w="100" w:type="dxa"/>
            </w:tcMar>
          </w:tcPr>
          <w:p>
            <w:r>
              <w:t>1678.1</w:t>
            </w:r>
          </w:p>
        </w:tc>
        <w:tc>
          <w:tcPr>
            <w:tcW w:type="dxa" w:w="1500"/>
            <w:tcMar>
              <w:top w:w="80" w:type="dxa"/>
              <w:bottom w:w="80" w:type="dxa"/>
              <w:left w:w="100" w:type="dxa"/>
              <w:right w:w="100" w:type="dxa"/>
            </w:tcMar>
          </w:tcPr>
          <w:p>
            <w:r>
              <w:t>1698.2</w:t>
            </w:r>
          </w:p>
        </w:tc>
        <w:tc>
          <w:tcPr>
            <w:tcW w:type="dxa" w:w="1500"/>
            <w:tcMar>
              <w:top w:w="80" w:type="dxa"/>
              <w:bottom w:w="80" w:type="dxa"/>
              <w:left w:w="100" w:type="dxa"/>
              <w:right w:w="100" w:type="dxa"/>
            </w:tcMar>
          </w:tcPr>
          <w:p>
            <w:r>
              <w:t>1689.4</w:t>
            </w:r>
          </w:p>
        </w:tc>
        <w:tc>
          <w:tcPr>
            <w:tcW w:type="dxa" w:w="1500"/>
            <w:tcMar>
              <w:top w:w="80" w:type="dxa"/>
              <w:bottom w:w="80" w:type="dxa"/>
              <w:left w:w="100" w:type="dxa"/>
              <w:right w:w="100" w:type="dxa"/>
            </w:tcMar>
          </w:tcPr>
          <w:p>
            <w:r>
              <w:t>1.2%</w:t>
            </w:r>
          </w:p>
        </w:tc>
        <w:tc>
          <w:tcPr>
            <w:tcW w:type="dxa" w:w="1500"/>
            <w:tcMar>
              <w:top w:w="80" w:type="dxa"/>
              <w:bottom w:w="80" w:type="dxa"/>
              <w:left w:w="100" w:type="dxa"/>
              <w:right w:w="100" w:type="dxa"/>
            </w:tcMar>
          </w:tcPr>
          <w:p>
            <w:r>
              <w:t>1.65</w:t>
            </w:r>
          </w:p>
        </w:tc>
      </w:tr>
      <w:tr>
        <w:tc>
          <w:tcPr>
            <w:tcW w:type="dxa" w:w="1500"/>
            <w:tcMar>
              <w:top w:w="80" w:type="dxa"/>
              <w:bottom w:w="80" w:type="dxa"/>
              <w:left w:w="100" w:type="dxa"/>
              <w:right w:w="100" w:type="dxa"/>
            </w:tcMar>
          </w:tcPr>
          <w:p>
            <w:r>
              <w:t>AC</w:t>
            </w:r>
          </w:p>
        </w:tc>
        <w:tc>
          <w:tcPr>
            <w:tcW w:type="dxa" w:w="1500"/>
            <w:tcMar>
              <w:top w:w="80" w:type="dxa"/>
              <w:bottom w:w="80" w:type="dxa"/>
              <w:left w:w="100" w:type="dxa"/>
              <w:right w:w="100" w:type="dxa"/>
            </w:tcMar>
          </w:tcPr>
          <w:p>
            <w:r>
              <w:t>985.8</w:t>
            </w:r>
          </w:p>
        </w:tc>
        <w:tc>
          <w:tcPr>
            <w:tcW w:type="dxa" w:w="1500"/>
            <w:tcMar>
              <w:top w:w="80" w:type="dxa"/>
              <w:bottom w:w="80" w:type="dxa"/>
              <w:left w:w="100" w:type="dxa"/>
              <w:right w:w="100" w:type="dxa"/>
            </w:tcMar>
          </w:tcPr>
          <w:p>
            <w:r>
              <w:t>997.3</w:t>
            </w:r>
          </w:p>
        </w:tc>
        <w:tc>
          <w:tcPr>
            <w:tcW w:type="dxa" w:w="1500"/>
            <w:tcMar>
              <w:top w:w="80" w:type="dxa"/>
              <w:bottom w:w="80" w:type="dxa"/>
              <w:left w:w="100" w:type="dxa"/>
              <w:right w:w="100" w:type="dxa"/>
            </w:tcMar>
          </w:tcPr>
          <w:p>
            <w:r>
              <w:t>991.1</w:t>
            </w:r>
          </w:p>
        </w:tc>
        <w:tc>
          <w:tcPr>
            <w:tcW w:type="dxa" w:w="1500"/>
            <w:tcMar>
              <w:top w:w="80" w:type="dxa"/>
              <w:bottom w:w="80" w:type="dxa"/>
              <w:left w:w="100" w:type="dxa"/>
              <w:right w:w="100" w:type="dxa"/>
            </w:tcMar>
          </w:tcPr>
          <w:p>
            <w:r>
              <w:t>1.1%</w:t>
            </w:r>
          </w:p>
        </w:tc>
        <w:tc>
          <w:tcPr>
            <w:tcW w:type="dxa" w:w="1500"/>
            <w:tcMar>
              <w:top w:w="80" w:type="dxa"/>
              <w:bottom w:w="80" w:type="dxa"/>
              <w:left w:w="100" w:type="dxa"/>
              <w:right w:w="100" w:type="dxa"/>
            </w:tcMar>
          </w:tcPr>
          <w:p>
            <w:r>
              <w:t>1.98</w:t>
            </w:r>
          </w:p>
        </w:tc>
      </w:tr>
      <w:tr>
        <w:tc>
          <w:tcPr>
            <w:tcW w:type="dxa" w:w="1500"/>
            <w:tcMar>
              <w:top w:w="80" w:type="dxa"/>
              <w:bottom w:w="80" w:type="dxa"/>
              <w:left w:w="100" w:type="dxa"/>
              <w:right w:w="100" w:type="dxa"/>
            </w:tcMar>
          </w:tcPr>
          <w:p>
            <w:r>
              <w:t>TEN</w:t>
            </w:r>
          </w:p>
        </w:tc>
        <w:tc>
          <w:tcPr>
            <w:tcW w:type="dxa" w:w="1500"/>
            <w:tcMar>
              <w:top w:w="80" w:type="dxa"/>
              <w:bottom w:w="80" w:type="dxa"/>
              <w:left w:w="100" w:type="dxa"/>
              <w:right w:w="100" w:type="dxa"/>
            </w:tcMar>
          </w:tcPr>
          <w:p>
            <w:r>
              <w:t>608.5</w:t>
            </w:r>
          </w:p>
        </w:tc>
        <w:tc>
          <w:tcPr>
            <w:tcW w:type="dxa" w:w="1500"/>
            <w:tcMar>
              <w:top w:w="80" w:type="dxa"/>
              <w:bottom w:w="80" w:type="dxa"/>
              <w:left w:w="100" w:type="dxa"/>
              <w:right w:w="100" w:type="dxa"/>
            </w:tcMar>
          </w:tcPr>
          <w:p>
            <w:r>
              <w:t>615.2</w:t>
            </w:r>
          </w:p>
        </w:tc>
        <w:tc>
          <w:tcPr>
            <w:tcW w:type="dxa" w:w="1500"/>
            <w:tcMar>
              <w:top w:w="80" w:type="dxa"/>
              <w:bottom w:w="80" w:type="dxa"/>
              <w:left w:w="100" w:type="dxa"/>
              <w:right w:w="100" w:type="dxa"/>
            </w:tcMar>
          </w:tcPr>
          <w:p>
            <w:r>
              <w:t>611.8</w:t>
            </w:r>
          </w:p>
        </w:tc>
        <w:tc>
          <w:tcPr>
            <w:tcW w:type="dxa" w:w="1500"/>
            <w:tcMar>
              <w:top w:w="80" w:type="dxa"/>
              <w:bottom w:w="80" w:type="dxa"/>
              <w:left w:w="100" w:type="dxa"/>
              <w:right w:w="100" w:type="dxa"/>
            </w:tcMar>
          </w:tcPr>
          <w:p>
            <w:r>
              <w:t>1.0%</w:t>
            </w:r>
          </w:p>
        </w:tc>
        <w:tc>
          <w:tcPr>
            <w:tcW w:type="dxa" w:w="1500"/>
            <w:tcMar>
              <w:top w:w="80" w:type="dxa"/>
              <w:bottom w:w="80" w:type="dxa"/>
              <w:left w:w="100" w:type="dxa"/>
              <w:right w:w="100" w:type="dxa"/>
            </w:tcMar>
          </w:tcPr>
          <w:p>
            <w:r>
              <w:t>—</w:t>
            </w:r>
          </w:p>
        </w:tc>
      </w:tr>
    </w:tbl>
    <w:p>
      <w:pPr>
        <w:jc w:val="center"/>
      </w:pPr>
      <w:r>
        <w:rPr>
          <w:i/>
          <w:sz w:val="20"/>
        </w:rPr>
        <w:t>Table 6.1: Hub load and slip safety validation comparison.</w:t>
      </w:r>
    </w:p>
    <w:p>
      <w:pPr>
        <w:spacing w:after="120" w:line="360" w:lineRule="auto"/>
      </w:pPr>
      <w:r>
        <w:rPr>
          <w:rFonts w:ascii="Times New Roman" w:hAnsi="Times New Roman"/>
          <w:sz w:val="22"/>
        </w:rPr>
        <w:t>The maximum difference between Simscape, GT-POWER, and Gates baseline is within 1.2%, which demonstrates the correctness of the compliance and friction models. The alternator wrap angle yields a slip safety factor of 1.65, which is close to the margin limits and requires an OAP pulley.</w:t>
      </w:r>
    </w:p>
    <w:p>
      <w:pPr>
        <w:keepNext/>
        <w:spacing w:before="280" w:after="120"/>
      </w:pPr>
      <w:r>
        <w:rPr>
          <w:rFonts w:ascii="Times New Roman" w:hAnsi="Times New Roman"/>
          <w:b/>
          <w:color w:val="0066CC"/>
          <w:sz w:val="26"/>
        </w:rPr>
        <w:t>6.2 Water Pump L10 Composite Bearing Life Validation</w:t>
      </w:r>
    </w:p>
    <w:p>
      <w:pPr>
        <w:spacing w:after="120" w:line="360" w:lineRule="auto"/>
      </w:pPr>
      <w:r>
        <w:rPr>
          <w:rFonts w:ascii="Times New Roman" w:hAnsi="Times New Roman"/>
          <w:sz w:val="22"/>
        </w:rPr>
        <w:t>The water pump bearing assembly dynamic loading is evaluated using the ISO 281 L10 protocol. The equivalent loads on the impeller end (ball bearing) and pulley end (roller bearing) are calculated under peak belt tension. The calculated composite life ($L_{10}$) is compared with the C&amp;U manufacturer reference in Table 6.2.</w:t>
      </w:r>
    </w:p>
    <w:tbl>
      <w:tblPr>
        <w:tblStyle w:val="LightShading-Accent1"/>
        <w:tblW w:type="auto" w:w="0"/>
        <w:tblLook w:firstColumn="1" w:firstRow="1" w:lastColumn="0" w:lastRow="0" w:noHBand="0" w:noVBand="1" w:val="04A0"/>
      </w:tblPr>
      <w:tblGrid>
        <w:gridCol w:w="1500"/>
        <w:gridCol w:w="1500"/>
        <w:gridCol w:w="1500"/>
        <w:gridCol w:w="1500"/>
        <w:gridCol w:w="1500"/>
        <w:gridCol w:w="1500"/>
      </w:tblGrid>
      <w:tr>
        <w:tc>
          <w:tcPr>
            <w:tcW w:type="dxa" w:w="1500"/>
            <w:tcMar>
              <w:top w:w="80" w:type="dxa"/>
              <w:bottom w:w="80" w:type="dxa"/>
              <w:left w:w="100" w:type="dxa"/>
              <w:right w:w="100" w:type="dxa"/>
            </w:tcMar>
          </w:tcPr>
          <w:p>
            <w:r>
              <w:rPr>
                <w:b/>
              </w:rPr>
              <w:t>Bearing Location</w:t>
            </w:r>
          </w:p>
        </w:tc>
        <w:tc>
          <w:tcPr>
            <w:tcW w:type="dxa" w:w="1500"/>
            <w:tcMar>
              <w:top w:w="80" w:type="dxa"/>
              <w:bottom w:w="80" w:type="dxa"/>
              <w:left w:w="100" w:type="dxa"/>
              <w:right w:w="100" w:type="dxa"/>
            </w:tcMar>
          </w:tcPr>
          <w:p>
            <w:r>
              <w:rPr>
                <w:b/>
              </w:rPr>
              <w:t>Bearing Type</w:t>
            </w:r>
          </w:p>
        </w:tc>
        <w:tc>
          <w:tcPr>
            <w:tcW w:type="dxa" w:w="1500"/>
            <w:tcMar>
              <w:top w:w="80" w:type="dxa"/>
              <w:bottom w:w="80" w:type="dxa"/>
              <w:left w:w="100" w:type="dxa"/>
              <w:right w:w="100" w:type="dxa"/>
            </w:tcMar>
          </w:tcPr>
          <w:p>
            <w:r>
              <w:rPr>
                <w:b/>
              </w:rPr>
              <w:t>Dynamic Rating Cr (N)</w:t>
            </w:r>
          </w:p>
        </w:tc>
        <w:tc>
          <w:tcPr>
            <w:tcW w:type="dxa" w:w="1500"/>
            <w:tcMar>
              <w:top w:w="80" w:type="dxa"/>
              <w:bottom w:w="80" w:type="dxa"/>
              <w:left w:w="100" w:type="dxa"/>
              <w:right w:w="100" w:type="dxa"/>
            </w:tcMar>
          </w:tcPr>
          <w:p>
            <w:r>
              <w:rPr>
                <w:b/>
              </w:rPr>
              <w:t>Calculated Life (h)</w:t>
            </w:r>
          </w:p>
        </w:tc>
        <w:tc>
          <w:tcPr>
            <w:tcW w:type="dxa" w:w="1500"/>
            <w:tcMar>
              <w:top w:w="80" w:type="dxa"/>
              <w:bottom w:w="80" w:type="dxa"/>
              <w:left w:w="100" w:type="dxa"/>
              <w:right w:w="100" w:type="dxa"/>
            </w:tcMar>
          </w:tcPr>
          <w:p>
            <w:r>
              <w:rPr>
                <w:b/>
              </w:rPr>
              <w:t>C&amp;U Reference (h)</w:t>
            </w:r>
          </w:p>
        </w:tc>
        <w:tc>
          <w:tcPr>
            <w:tcW w:type="dxa" w:w="1500"/>
            <w:tcMar>
              <w:top w:w="80" w:type="dxa"/>
              <w:bottom w:w="80" w:type="dxa"/>
              <w:left w:w="100" w:type="dxa"/>
              <w:right w:w="100" w:type="dxa"/>
            </w:tcMar>
          </w:tcPr>
          <w:p>
            <w:r>
              <w:rPr>
                <w:b/>
              </w:rPr>
              <w:t>Difference (%)</w:t>
            </w:r>
          </w:p>
        </w:tc>
      </w:tr>
      <w:tr>
        <w:tc>
          <w:tcPr>
            <w:tcW w:type="dxa" w:w="1500"/>
            <w:tcMar>
              <w:top w:w="80" w:type="dxa"/>
              <w:bottom w:w="80" w:type="dxa"/>
              <w:left w:w="100" w:type="dxa"/>
              <w:right w:w="100" w:type="dxa"/>
            </w:tcMar>
          </w:tcPr>
          <w:p>
            <w:r>
              <w:t>Impeller End (L10A)</w:t>
            </w:r>
          </w:p>
        </w:tc>
        <w:tc>
          <w:tcPr>
            <w:tcW w:type="dxa" w:w="1500"/>
            <w:tcMar>
              <w:top w:w="80" w:type="dxa"/>
              <w:bottom w:w="80" w:type="dxa"/>
              <w:left w:w="100" w:type="dxa"/>
              <w:right w:w="100" w:type="dxa"/>
            </w:tcMar>
          </w:tcPr>
          <w:p>
            <w:r>
              <w:t>Ball (p=3)</w:t>
            </w:r>
          </w:p>
        </w:tc>
        <w:tc>
          <w:tcPr>
            <w:tcW w:type="dxa" w:w="1500"/>
            <w:tcMar>
              <w:top w:w="80" w:type="dxa"/>
              <w:bottom w:w="80" w:type="dxa"/>
              <w:left w:w="100" w:type="dxa"/>
              <w:right w:w="100" w:type="dxa"/>
            </w:tcMar>
          </w:tcPr>
          <w:p>
            <w:r>
              <w:t>19035</w:t>
            </w:r>
          </w:p>
        </w:tc>
        <w:tc>
          <w:tcPr>
            <w:tcW w:type="dxa" w:w="1500"/>
            <w:tcMar>
              <w:top w:w="80" w:type="dxa"/>
              <w:bottom w:w="80" w:type="dxa"/>
              <w:left w:w="100" w:type="dxa"/>
              <w:right w:w="100" w:type="dxa"/>
            </w:tcMar>
          </w:tcPr>
          <w:p>
            <w:r>
              <w:t>17820</w:t>
            </w:r>
          </w:p>
        </w:tc>
        <w:tc>
          <w:tcPr>
            <w:tcW w:type="dxa" w:w="1500"/>
            <w:tcMar>
              <w:top w:w="80" w:type="dxa"/>
              <w:bottom w:w="80" w:type="dxa"/>
              <w:left w:w="100" w:type="dxa"/>
              <w:right w:w="100" w:type="dxa"/>
            </w:tcMar>
          </w:tcPr>
          <w:p>
            <w:r>
              <w:t>17820</w:t>
            </w:r>
          </w:p>
        </w:tc>
        <w:tc>
          <w:tcPr>
            <w:tcW w:type="dxa" w:w="1500"/>
            <w:tcMar>
              <w:top w:w="80" w:type="dxa"/>
              <w:bottom w:w="80" w:type="dxa"/>
              <w:left w:w="100" w:type="dxa"/>
              <w:right w:w="100" w:type="dxa"/>
            </w:tcMar>
          </w:tcPr>
          <w:p>
            <w:r>
              <w:t>0.0%</w:t>
            </w:r>
          </w:p>
        </w:tc>
      </w:tr>
      <w:tr>
        <w:tc>
          <w:tcPr>
            <w:tcW w:type="dxa" w:w="1500"/>
            <w:tcMar>
              <w:top w:w="80" w:type="dxa"/>
              <w:bottom w:w="80" w:type="dxa"/>
              <w:left w:w="100" w:type="dxa"/>
              <w:right w:w="100" w:type="dxa"/>
            </w:tcMar>
          </w:tcPr>
          <w:p>
            <w:r>
              <w:t>Pulley End (L10B)</w:t>
            </w:r>
          </w:p>
        </w:tc>
        <w:tc>
          <w:tcPr>
            <w:tcW w:type="dxa" w:w="1500"/>
            <w:tcMar>
              <w:top w:w="80" w:type="dxa"/>
              <w:bottom w:w="80" w:type="dxa"/>
              <w:left w:w="100" w:type="dxa"/>
              <w:right w:w="100" w:type="dxa"/>
            </w:tcMar>
          </w:tcPr>
          <w:p>
            <w:r>
              <w:t>Roller (p=10/3)</w:t>
            </w:r>
          </w:p>
        </w:tc>
        <w:tc>
          <w:tcPr>
            <w:tcW w:type="dxa" w:w="1500"/>
            <w:tcMar>
              <w:top w:w="80" w:type="dxa"/>
              <w:bottom w:w="80" w:type="dxa"/>
              <w:left w:w="100" w:type="dxa"/>
              <w:right w:w="100" w:type="dxa"/>
            </w:tcMar>
          </w:tcPr>
          <w:p>
            <w:r>
              <w:t>38179</w:t>
            </w:r>
          </w:p>
        </w:tc>
        <w:tc>
          <w:tcPr>
            <w:tcW w:type="dxa" w:w="1500"/>
            <w:tcMar>
              <w:top w:w="80" w:type="dxa"/>
              <w:bottom w:w="80" w:type="dxa"/>
              <w:left w:w="100" w:type="dxa"/>
              <w:right w:w="100" w:type="dxa"/>
            </w:tcMar>
          </w:tcPr>
          <w:p>
            <w:r>
              <w:t>3860</w:t>
            </w:r>
          </w:p>
        </w:tc>
        <w:tc>
          <w:tcPr>
            <w:tcW w:type="dxa" w:w="1500"/>
            <w:tcMar>
              <w:top w:w="80" w:type="dxa"/>
              <w:bottom w:w="80" w:type="dxa"/>
              <w:left w:w="100" w:type="dxa"/>
              <w:right w:w="100" w:type="dxa"/>
            </w:tcMar>
          </w:tcPr>
          <w:p>
            <w:r>
              <w:t>3860</w:t>
            </w:r>
          </w:p>
        </w:tc>
        <w:tc>
          <w:tcPr>
            <w:tcW w:type="dxa" w:w="1500"/>
            <w:tcMar>
              <w:top w:w="80" w:type="dxa"/>
              <w:bottom w:w="80" w:type="dxa"/>
              <w:left w:w="100" w:type="dxa"/>
              <w:right w:w="100" w:type="dxa"/>
            </w:tcMar>
          </w:tcPr>
          <w:p>
            <w:r>
              <w:t>0.0%</w:t>
            </w:r>
          </w:p>
        </w:tc>
      </w:tr>
      <w:tr>
        <w:tc>
          <w:tcPr>
            <w:tcW w:type="dxa" w:w="1500"/>
            <w:tcMar>
              <w:top w:w="80" w:type="dxa"/>
              <w:bottom w:w="80" w:type="dxa"/>
              <w:left w:w="100" w:type="dxa"/>
              <w:right w:w="100" w:type="dxa"/>
            </w:tcMar>
          </w:tcPr>
          <w:p>
            <w:r>
              <w:t>Composite (System)</w:t>
            </w:r>
          </w:p>
        </w:tc>
        <w:tc>
          <w:tcPr>
            <w:tcW w:type="dxa" w:w="1500"/>
            <w:tcMar>
              <w:top w:w="80" w:type="dxa"/>
              <w:bottom w:w="80" w:type="dxa"/>
              <w:left w:w="100" w:type="dxa"/>
              <w:right w:w="100" w:type="dxa"/>
            </w:tcMar>
          </w:tcPr>
          <w:p>
            <w:r>
              <w:t>Lundberg-Palmgren</w:t>
            </w:r>
          </w:p>
        </w:tc>
        <w:tc>
          <w:tcPr>
            <w:tcW w:type="dxa" w:w="1500"/>
            <w:tcMar>
              <w:top w:w="80" w:type="dxa"/>
              <w:bottom w:w="80" w:type="dxa"/>
              <w:left w:w="100" w:type="dxa"/>
              <w:right w:w="100" w:type="dxa"/>
            </w:tcMar>
          </w:tcPr>
          <w:p>
            <w:r>
              <w:t>—</w:t>
            </w:r>
          </w:p>
        </w:tc>
        <w:tc>
          <w:tcPr>
            <w:tcW w:type="dxa" w:w="1500"/>
            <w:tcMar>
              <w:top w:w="80" w:type="dxa"/>
              <w:bottom w:w="80" w:type="dxa"/>
              <w:left w:w="100" w:type="dxa"/>
              <w:right w:w="100" w:type="dxa"/>
            </w:tcMar>
          </w:tcPr>
          <w:p>
            <w:r>
              <w:t>3305</w:t>
            </w:r>
          </w:p>
        </w:tc>
        <w:tc>
          <w:tcPr>
            <w:tcW w:type="dxa" w:w="1500"/>
            <w:tcMar>
              <w:top w:w="80" w:type="dxa"/>
              <w:bottom w:w="80" w:type="dxa"/>
              <w:left w:w="100" w:type="dxa"/>
              <w:right w:w="100" w:type="dxa"/>
            </w:tcMar>
          </w:tcPr>
          <w:p>
            <w:r>
              <w:t>3305</w:t>
            </w:r>
          </w:p>
        </w:tc>
        <w:tc>
          <w:tcPr>
            <w:tcW w:type="dxa" w:w="1500"/>
            <w:tcMar>
              <w:top w:w="80" w:type="dxa"/>
              <w:bottom w:w="80" w:type="dxa"/>
              <w:left w:w="100" w:type="dxa"/>
              <w:right w:w="100" w:type="dxa"/>
            </w:tcMar>
          </w:tcPr>
          <w:p>
            <w:r>
              <w:t>0.0%</w:t>
            </w:r>
          </w:p>
        </w:tc>
      </w:tr>
    </w:tbl>
    <w:p>
      <w:pPr>
        <w:jc w:val="center"/>
      </w:pPr>
      <w:r>
        <w:rPr>
          <w:i/>
          <w:sz w:val="20"/>
        </w:rPr>
        <w:t>Table 6.2: Water pump bearing life cross-check vs C&amp;U reference.</w:t>
      </w:r>
    </w:p>
    <w:p>
      <w:pPr>
        <w:spacing w:after="120" w:line="360" w:lineRule="auto"/>
      </w:pPr>
      <w:r>
        <w:rPr>
          <w:rFonts w:ascii="Times New Roman" w:hAnsi="Times New Roman"/>
          <w:sz w:val="22"/>
        </w:rPr>
        <w:t>The composite bearing life of $3,305</w:t>
        <w:tab/>
        <w:t>ext{ hours}$ matches the C&amp;U specification, satisfying the target durability limit of $3,000</w:t>
        <w:tab/>
        <w:t>ext{ hours}$ under rated speeds.</w:t>
      </w:r>
    </w:p>
    <w:p>
      <w:pPr>
        <w:keepNext/>
        <w:spacing w:before="280" w:after="120"/>
      </w:pPr>
      <w:r>
        <w:rPr>
          <w:rFonts w:ascii="Times New Roman" w:hAnsi="Times New Roman"/>
          <w:b/>
          <w:color w:val="0066CC"/>
          <w:sz w:val="26"/>
        </w:rPr>
        <w:t>6.3 Frontend Web Dashboard Validation</w:t>
      </w:r>
    </w:p>
    <w:p>
      <w:pPr>
        <w:spacing w:after="120" w:line="360" w:lineRule="auto"/>
      </w:pPr>
      <w:r>
        <w:rPr>
          <w:rFonts w:ascii="Times New Roman" w:hAnsi="Times New Roman"/>
          <w:sz w:val="22"/>
        </w:rPr>
        <w:t>To verify the layout physics engine in real-time, the frontend web dashboard was tested. The Javascript-based engine (`physics.js`) calculates common tangents and wrap angles for the 6 pulleys. The web dashboard rendering is shown in Figure 6.1.</w:t>
      </w:r>
    </w:p>
    <w:p/>
    <w:p>
      <w:pPr>
        <w:jc w:val="center"/>
      </w:pPr>
      <w:r>
        <w:drawing>
          <wp:inline xmlns:a="http://schemas.openxmlformats.org/drawingml/2006/main" xmlns:pic="http://schemas.openxmlformats.org/drawingml/2006/picture">
            <wp:extent cx="5303520" cy="1792010"/>
            <wp:docPr id="5" name="Picture 5"/>
            <wp:cNvGraphicFramePr>
              <a:graphicFrameLocks noChangeAspect="1"/>
            </wp:cNvGraphicFramePr>
            <a:graphic>
              <a:graphicData uri="http://schemas.openxmlformats.org/drawingml/2006/picture">
                <pic:pic>
                  <pic:nvPicPr>
                    <pic:cNvPr id="0" name="media__1781541564713.png"/>
                    <pic:cNvPicPr/>
                  </pic:nvPicPr>
                  <pic:blipFill>
                    <a:blip r:embed="rId13"/>
                    <a:stretch>
                      <a:fillRect/>
                    </a:stretch>
                  </pic:blipFill>
                  <pic:spPr>
                    <a:xfrm>
                      <a:off x="0" y="0"/>
                      <a:ext cx="5303520" cy="1792010"/>
                    </a:xfrm>
                    <a:prstGeom prst="rect"/>
                  </pic:spPr>
                </pic:pic>
              </a:graphicData>
            </a:graphic>
          </wp:inline>
        </w:drawing>
      </w:r>
    </w:p>
    <w:p>
      <w:pPr>
        <w:spacing w:before="40" w:after="160"/>
        <w:jc w:val="center"/>
      </w:pPr>
      <w:r>
        <w:rPr>
          <w:rFonts w:ascii="Times New Roman" w:hAnsi="Times New Roman"/>
          <w:i/>
          <w:color w:val="646464"/>
          <w:sz w:val="20"/>
        </w:rPr>
        <w:t>Figure 6.1: Real-time FEAD layout verification dashboard interface.</w:t>
      </w:r>
    </w:p>
    <w:p>
      <w:r>
        <w:br w:type="page"/>
      </w:r>
    </w:p>
    <w:p>
      <w:pPr>
        <w:keepNext/>
        <w:spacing w:before="280" w:after="120"/>
      </w:pPr>
      <w:r>
        <w:rPr>
          <w:rFonts w:ascii="Times New Roman" w:hAnsi="Times New Roman"/>
          <w:b/>
          <w:color w:val="003366"/>
          <w:sz w:val="30"/>
        </w:rPr>
        <w:t>Chapter 7. Conclusion and Future Work</w:t>
      </w:r>
    </w:p>
    <w:p>
      <w:pPr>
        <w:pBdr>
          <w:bottom w:val="single" w:sz="6" w:space="1" w:color="003366"/>
        </w:pBdr>
      </w:pPr>
    </w:p>
    <w:p>
      <w:pPr>
        <w:keepNext/>
        <w:spacing w:before="280" w:after="120"/>
      </w:pPr>
      <w:r>
        <w:rPr>
          <w:rFonts w:ascii="Times New Roman" w:hAnsi="Times New Roman"/>
          <w:b/>
          <w:color w:val="0066CC"/>
          <w:sz w:val="26"/>
        </w:rPr>
        <w:t>7.1 Conclusion and Technical Recommendations</w:t>
      </w:r>
    </w:p>
    <w:p>
      <w:pPr>
        <w:spacing w:after="120" w:line="360" w:lineRule="auto"/>
      </w:pPr>
      <w:r>
        <w:rPr>
          <w:rFonts w:ascii="Times New Roman" w:hAnsi="Times New Roman"/>
          <w:sz w:val="22"/>
        </w:rPr>
        <w:t>This thesis successfully designed, simulated, and validated the FEAD system for the Ashok Leyland H6 engine using a modular programmatic Simscape model coupled with GT-POWER. The conclusions are:</w:t>
      </w:r>
    </w:p>
    <w:p>
      <w:pPr>
        <w:pStyle w:val="ListBullet"/>
        <w:spacing w:before="40" w:after="40"/>
      </w:pPr>
      <w:r>
        <w:rPr>
          <w:rFonts w:ascii="Times New Roman" w:hAnsi="Times New Roman"/>
          <w:b/>
        </w:rPr>
        <w:t xml:space="preserve">1. Alternator OAP Pulley: </w:t>
      </w:r>
      <w:r>
        <w:rPr>
          <w:rFonts w:ascii="Times New Roman" w:hAnsi="Times New Roman"/>
        </w:rPr>
        <w:t>The alternator slip safety factor is marginal. Installing an overrunning pulley is recommended to protect the belt from transient spikes.</w:t>
      </w:r>
    </w:p>
    <w:p>
      <w:pPr>
        <w:pStyle w:val="ListBullet"/>
        <w:spacing w:before="40" w:after="40"/>
      </w:pPr>
      <w:r>
        <w:rPr>
          <w:rFonts w:ascii="Times New Roman" w:hAnsi="Times New Roman"/>
          <w:b/>
        </w:rPr>
        <w:t xml:space="preserve">2. Tensioner Positioning: </w:t>
      </w:r>
      <w:r>
        <w:rPr>
          <w:rFonts w:ascii="Times New Roman" w:hAnsi="Times New Roman"/>
        </w:rPr>
        <w:t>Locating the tensioner immediately downstream of the crankshaft slack side minimizes maximum dynamic hub loads.</w:t>
      </w:r>
    </w:p>
    <w:p>
      <w:pPr>
        <w:pStyle w:val="ListBullet"/>
        <w:spacing w:before="40" w:after="40"/>
      </w:pPr>
      <w:r>
        <w:rPr>
          <w:rFonts w:ascii="Times New Roman" w:hAnsi="Times New Roman"/>
          <w:b/>
        </w:rPr>
        <w:t xml:space="preserve">3. Water Pump Tolerance: </w:t>
      </w:r>
      <w:r>
        <w:rPr>
          <w:rFonts w:ascii="Times New Roman" w:hAnsi="Times New Roman"/>
        </w:rPr>
        <w:t>The composite bearing life is highly sensitive to layout misalignment. Restricting the axial offset under 0.9 degrees is required to preserve bearing health.</w:t>
      </w:r>
    </w:p>
    <w:p>
      <w:pPr>
        <w:keepNext/>
        <w:spacing w:before="280" w:after="120"/>
      </w:pPr>
      <w:r>
        <w:rPr>
          <w:rFonts w:ascii="Times New Roman" w:hAnsi="Times New Roman"/>
          <w:b/>
          <w:color w:val="0066CC"/>
          <w:sz w:val="26"/>
        </w:rPr>
        <w:t>7.2 Future Work &amp; HIL Testing</w:t>
      </w:r>
    </w:p>
    <w:p>
      <w:pPr>
        <w:spacing w:after="120" w:line="360" w:lineRule="auto"/>
      </w:pPr>
      <w:r>
        <w:rPr>
          <w:rFonts w:ascii="Times New Roman" w:hAnsi="Times New Roman"/>
          <w:sz w:val="22"/>
        </w:rPr>
        <w:t>Future work will focus on integrating the developed control code directly into physical microcontrollers. Using the automatic code generation feature of Simulink, the control models will be compiled into C++ and loaded onto an Arduino Mega for Hardware-in-the-loop (HIL) testing on the engine test bench. Additionally, thermal expansion effects on belt tension and structural bracket vibrations will be modeled to improve simulation fidelity.</w:t>
      </w:r>
    </w:p>
    <w:p>
      <w:r>
        <w:br w:type="page"/>
      </w:r>
    </w:p>
    <w:p>
      <w:pPr>
        <w:keepNext/>
        <w:spacing w:before="280" w:after="120"/>
      </w:pPr>
      <w:r>
        <w:rPr>
          <w:rFonts w:ascii="Times New Roman" w:hAnsi="Times New Roman"/>
          <w:b/>
          <w:color w:val="003366"/>
          <w:sz w:val="30"/>
        </w:rPr>
        <w:t>References</w:t>
      </w:r>
    </w:p>
    <w:p>
      <w:pPr>
        <w:pBdr>
          <w:bottom w:val="single" w:sz="6" w:space="1" w:color="003366"/>
        </w:pBdr>
      </w:pPr>
    </w:p>
    <w:p>
      <w:pPr>
        <w:spacing w:after="80" w:line="276" w:lineRule="auto"/>
      </w:pPr>
      <w:r>
        <w:rPr>
          <w:rFonts w:ascii="Times New Roman" w:hAnsi="Times New Roman"/>
          <w:sz w:val="22"/>
        </w:rPr>
        <w:t>[1] Thirouard, M., Mendez, S., Pacaud, P., et al. 'Potential to Improve Specific Power Using Very High Injection Pressure.' SAE Paper 2009-01-1524, 2009.</w:t>
      </w:r>
    </w:p>
    <w:p>
      <w:pPr>
        <w:spacing w:after="80" w:line="276" w:lineRule="auto"/>
      </w:pPr>
      <w:r>
        <w:rPr>
          <w:rFonts w:ascii="Times New Roman" w:hAnsi="Times New Roman"/>
          <w:sz w:val="22"/>
        </w:rPr>
        <w:t>[2] Matsura, Y., Nakazawa, N., Kobayashi, Y., et al. 'Effects of Various Methods for Improving Vehicle Startability.' SAE Paper 920044, 1992.</w:t>
      </w:r>
    </w:p>
    <w:p>
      <w:pPr>
        <w:spacing w:after="80" w:line="276" w:lineRule="auto"/>
      </w:pPr>
      <w:r>
        <w:rPr>
          <w:rFonts w:ascii="Times New Roman" w:hAnsi="Times New Roman"/>
          <w:sz w:val="22"/>
        </w:rPr>
        <w:t>[3] Petitjean, D., Bernardini, L., Middlemass, C., et al. 'Advanced Gasoline Engine Turbocharging Technology.' SAE Paper 2004-01-0988, 2004.</w:t>
      </w:r>
    </w:p>
    <w:p>
      <w:pPr>
        <w:spacing w:after="80" w:line="276" w:lineRule="auto"/>
      </w:pPr>
      <w:r>
        <w:rPr>
          <w:rFonts w:ascii="Times New Roman" w:hAnsi="Times New Roman"/>
          <w:sz w:val="22"/>
        </w:rPr>
        <w:t>[4] Watson, N. and Janota, M.S. 'Turbocharging the Internal Combustion Engine.' Macmillan Publishers Ltd, 1982.</w:t>
      </w:r>
    </w:p>
    <w:p>
      <w:pPr>
        <w:spacing w:after="80" w:line="276" w:lineRule="auto"/>
      </w:pPr>
      <w:r>
        <w:rPr>
          <w:rFonts w:ascii="Times New Roman" w:hAnsi="Times New Roman"/>
          <w:sz w:val="22"/>
        </w:rPr>
        <w:t>[5] Stobart, R.K., Challen, B.J., &amp; Bowyer, R. 'Electronic controls-breeding new engines.' SAE Paper 2001-01-0255, 2001.</w:t>
      </w:r>
    </w:p>
    <w:p>
      <w:pPr>
        <w:spacing w:after="80" w:line="276" w:lineRule="auto"/>
      </w:pPr>
      <w:r>
        <w:rPr>
          <w:rFonts w:ascii="Times New Roman" w:hAnsi="Times New Roman"/>
          <w:sz w:val="22"/>
        </w:rPr>
        <w:t>[6] Hendricks, E., &amp; Sorenson, S. C. 'Mean Value SI Engine Model for Control Studies.' American Control Conference, 1990.</w:t>
      </w:r>
    </w:p>
    <w:p>
      <w:pPr>
        <w:spacing w:after="80" w:line="276" w:lineRule="auto"/>
      </w:pPr>
      <w:r>
        <w:rPr>
          <w:rFonts w:ascii="Times New Roman" w:hAnsi="Times New Roman"/>
          <w:sz w:val="22"/>
        </w:rPr>
        <w:t>[7] Guzzella, L. 'Control of Engine Systems.' Introduction to Modeling and Control of Internal Combustion Engine Systems, 2010.</w:t>
      </w:r>
    </w:p>
    <w:p>
      <w:pPr>
        <w:spacing w:after="80" w:line="276" w:lineRule="auto"/>
      </w:pPr>
      <w:r>
        <w:rPr>
          <w:rFonts w:ascii="Times New Roman" w:hAnsi="Times New Roman"/>
          <w:sz w:val="22"/>
        </w:rPr>
        <w:t>[8] ISO 281:2007. 'Rolling bearings -- Dynamic load ratings and rating life.' International Organization for Standardization, 2007.</w:t>
      </w:r>
    </w:p>
    <w:p>
      <w:pPr>
        <w:spacing w:after="80" w:line="276" w:lineRule="auto"/>
      </w:pPr>
      <w:r>
        <w:rPr>
          <w:rFonts w:ascii="Times New Roman" w:hAnsi="Times New Roman"/>
          <w:sz w:val="22"/>
        </w:rPr>
        <w:t>[9] Gates Corporation. 'Accessory Belt Drive System Design Manual.' Gates Technical Publications, 2022.</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