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0DC" w:rsidRDefault="004300DC" w:rsidP="00C210F8">
      <w:pPr>
        <w:shd w:val="clear" w:color="auto" w:fill="FFFFFF"/>
        <w:spacing w:after="100" w:afterAutospacing="1" w:line="240" w:lineRule="auto"/>
        <w:outlineLvl w:val="1"/>
        <w:rPr>
          <w:noProof/>
        </w:rPr>
      </w:pPr>
      <w:r>
        <w:rPr>
          <w:noProof/>
        </w:rPr>
        <w:drawing>
          <wp:inline distT="0" distB="0" distL="0" distR="0" wp14:anchorId="6197ACC8" wp14:editId="12CC5AF0">
            <wp:extent cx="2025650" cy="819150"/>
            <wp:effectExtent l="0" t="0" r="0" b="0"/>
            <wp:docPr id="464" name="Imagen 464" descr="Facultad Regional La Rioja"/>
            <wp:cNvGraphicFramePr/>
            <a:graphic xmlns:a="http://schemas.openxmlformats.org/drawingml/2006/main">
              <a:graphicData uri="http://schemas.openxmlformats.org/drawingml/2006/picture">
                <pic:pic xmlns:pic="http://schemas.openxmlformats.org/drawingml/2006/picture">
                  <pic:nvPicPr>
                    <pic:cNvPr id="464" name="Imagen 464" descr="Facultad Regional La Rioja"/>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5650" cy="819150"/>
                    </a:xfrm>
                    <a:prstGeom prst="rect">
                      <a:avLst/>
                    </a:prstGeom>
                    <a:noFill/>
                    <a:ln>
                      <a:noFill/>
                    </a:ln>
                  </pic:spPr>
                </pic:pic>
              </a:graphicData>
            </a:graphic>
          </wp:inline>
        </w:drawing>
      </w:r>
      <w:r>
        <w:rPr>
          <w:rFonts w:ascii="Arial" w:eastAsia="Times New Roman" w:hAnsi="Arial" w:cs="Arial"/>
          <w:b/>
          <w:bCs/>
          <w:lang w:eastAsia="es-AR"/>
        </w:rPr>
        <w:t xml:space="preserve">  </w:t>
      </w:r>
      <w:r>
        <w:rPr>
          <w:noProof/>
        </w:rPr>
        <w:t xml:space="preserve">                                                           </w:t>
      </w:r>
      <w:r>
        <w:rPr>
          <w:noProof/>
        </w:rPr>
        <w:drawing>
          <wp:inline distT="0" distB="0" distL="0" distR="0" wp14:anchorId="706124C8" wp14:editId="298A5038">
            <wp:extent cx="1216025" cy="645795"/>
            <wp:effectExtent l="0" t="0" r="3175" b="1905"/>
            <wp:docPr id="463" name="Imagen 463"/>
            <wp:cNvGraphicFramePr/>
            <a:graphic xmlns:a="http://schemas.openxmlformats.org/drawingml/2006/main">
              <a:graphicData uri="http://schemas.openxmlformats.org/drawingml/2006/picture">
                <pic:pic xmlns:pic="http://schemas.openxmlformats.org/drawingml/2006/picture">
                  <pic:nvPicPr>
                    <pic:cNvPr id="463" name="Imagen 46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6025" cy="645795"/>
                    </a:xfrm>
                    <a:prstGeom prst="rect">
                      <a:avLst/>
                    </a:prstGeom>
                    <a:noFill/>
                    <a:ln w="9525">
                      <a:noFill/>
                      <a:miter lim="800000"/>
                      <a:headEnd/>
                      <a:tailEnd/>
                    </a:ln>
                  </pic:spPr>
                </pic:pic>
              </a:graphicData>
            </a:graphic>
          </wp:inline>
        </w:drawing>
      </w:r>
    </w:p>
    <w:p w:rsidR="004300DC" w:rsidRDefault="004300DC" w:rsidP="004300DC">
      <w:pPr>
        <w:pBdr>
          <w:top w:val="single" w:sz="4" w:space="1" w:color="auto"/>
        </w:pBdr>
        <w:tabs>
          <w:tab w:val="left" w:pos="6708"/>
        </w:tabs>
        <w:spacing w:after="0"/>
        <w:jc w:val="both"/>
        <w:rPr>
          <w:rFonts w:cstheme="minorHAnsi"/>
          <w:b/>
          <w:bCs/>
          <w:sz w:val="24"/>
          <w:szCs w:val="24"/>
        </w:rPr>
      </w:pPr>
      <w:bookmarkStart w:id="0" w:name="_Hlk37745132"/>
    </w:p>
    <w:p w:rsidR="004300DC" w:rsidRPr="00F53F28" w:rsidRDefault="004300DC" w:rsidP="00F53F28">
      <w:pPr>
        <w:pBdr>
          <w:top w:val="single" w:sz="4" w:space="1" w:color="auto"/>
        </w:pBdr>
        <w:tabs>
          <w:tab w:val="left" w:pos="6708"/>
        </w:tabs>
        <w:spacing w:after="0"/>
        <w:jc w:val="both"/>
        <w:rPr>
          <w:rFonts w:ascii="Arial" w:hAnsi="Arial" w:cs="Arial"/>
          <w:b/>
          <w:bCs/>
        </w:rPr>
      </w:pPr>
      <w:r w:rsidRPr="00F53F28">
        <w:rPr>
          <w:rFonts w:ascii="Arial" w:hAnsi="Arial" w:cs="Arial"/>
          <w:b/>
          <w:bCs/>
        </w:rPr>
        <w:t>Licenciatura en Administración y Gestión en Instituciones de Educación Superior</w:t>
      </w:r>
    </w:p>
    <w:p w:rsidR="004300DC" w:rsidRPr="00F53F28" w:rsidRDefault="004300DC" w:rsidP="00F53F28">
      <w:pPr>
        <w:pBdr>
          <w:top w:val="single" w:sz="4" w:space="1" w:color="auto"/>
        </w:pBdr>
        <w:tabs>
          <w:tab w:val="left" w:pos="6708"/>
        </w:tabs>
        <w:spacing w:after="0"/>
        <w:jc w:val="both"/>
        <w:rPr>
          <w:rFonts w:ascii="Arial" w:hAnsi="Arial" w:cs="Arial"/>
          <w:b/>
          <w:bCs/>
        </w:rPr>
      </w:pPr>
      <w:r w:rsidRPr="00F53F28">
        <w:rPr>
          <w:rFonts w:ascii="Arial" w:hAnsi="Arial" w:cs="Arial"/>
          <w:b/>
          <w:bCs/>
        </w:rPr>
        <w:t>Regional: UTN Facultad Regional La Rioja</w:t>
      </w:r>
    </w:p>
    <w:p w:rsidR="004300DC" w:rsidRPr="00F53F28" w:rsidRDefault="004300DC" w:rsidP="00F53F28">
      <w:pPr>
        <w:pBdr>
          <w:top w:val="single" w:sz="4" w:space="1" w:color="auto"/>
        </w:pBdr>
        <w:tabs>
          <w:tab w:val="left" w:pos="6708"/>
        </w:tabs>
        <w:spacing w:after="0"/>
        <w:jc w:val="both"/>
        <w:rPr>
          <w:rFonts w:ascii="Arial" w:hAnsi="Arial" w:cs="Arial"/>
          <w:bCs/>
        </w:rPr>
      </w:pPr>
      <w:r w:rsidRPr="00F53F28">
        <w:rPr>
          <w:rFonts w:ascii="Arial" w:hAnsi="Arial" w:cs="Arial"/>
          <w:b/>
          <w:bCs/>
        </w:rPr>
        <w:t xml:space="preserve">Asignatura: </w:t>
      </w:r>
      <w:r w:rsidRPr="00F53F28">
        <w:rPr>
          <w:rFonts w:ascii="Arial" w:hAnsi="Arial" w:cs="Arial"/>
          <w:b/>
          <w:bCs/>
        </w:rPr>
        <w:t>Metodología de la Investigación</w:t>
      </w:r>
    </w:p>
    <w:p w:rsidR="004300DC" w:rsidRPr="00F53F28" w:rsidRDefault="004300DC" w:rsidP="00F53F28">
      <w:pPr>
        <w:pBdr>
          <w:top w:val="single" w:sz="4" w:space="1" w:color="auto"/>
        </w:pBdr>
        <w:tabs>
          <w:tab w:val="left" w:pos="6708"/>
        </w:tabs>
        <w:spacing w:after="0"/>
        <w:jc w:val="both"/>
        <w:rPr>
          <w:rFonts w:ascii="Arial" w:hAnsi="Arial" w:cs="Arial"/>
          <w:bCs/>
        </w:rPr>
      </w:pPr>
      <w:r w:rsidRPr="00F53F28">
        <w:rPr>
          <w:rFonts w:ascii="Arial" w:hAnsi="Arial" w:cs="Arial"/>
          <w:b/>
          <w:bCs/>
        </w:rPr>
        <w:t xml:space="preserve">Docente: </w:t>
      </w:r>
      <w:r w:rsidRPr="00F53F28">
        <w:rPr>
          <w:rFonts w:ascii="Arial" w:hAnsi="Arial" w:cs="Arial"/>
          <w:b/>
          <w:bCs/>
        </w:rPr>
        <w:t>Víctor Oliva</w:t>
      </w:r>
    </w:p>
    <w:p w:rsidR="004300DC" w:rsidRPr="00F53F28" w:rsidRDefault="004300DC" w:rsidP="00F53F28">
      <w:pPr>
        <w:pBdr>
          <w:top w:val="single" w:sz="4" w:space="1" w:color="auto"/>
        </w:pBdr>
        <w:tabs>
          <w:tab w:val="left" w:pos="6708"/>
        </w:tabs>
        <w:spacing w:after="0"/>
        <w:jc w:val="both"/>
        <w:rPr>
          <w:rFonts w:ascii="Arial" w:hAnsi="Arial" w:cs="Arial"/>
          <w:bCs/>
          <w:lang w:val="pt-BR"/>
        </w:rPr>
      </w:pPr>
      <w:proofErr w:type="spellStart"/>
      <w:r w:rsidRPr="00F53F28">
        <w:rPr>
          <w:rFonts w:ascii="Arial" w:hAnsi="Arial" w:cs="Arial"/>
          <w:b/>
          <w:bCs/>
          <w:lang w:val="pt-BR"/>
        </w:rPr>
        <w:t>Alumnos</w:t>
      </w:r>
      <w:proofErr w:type="spellEnd"/>
      <w:r w:rsidRPr="00F53F28">
        <w:rPr>
          <w:rFonts w:ascii="Arial" w:hAnsi="Arial" w:cs="Arial"/>
          <w:bCs/>
          <w:lang w:val="pt-BR"/>
        </w:rPr>
        <w:t xml:space="preserve">: </w:t>
      </w:r>
      <w:r w:rsidRPr="00F53F28">
        <w:rPr>
          <w:rFonts w:ascii="Arial" w:hAnsi="Arial" w:cs="Arial"/>
          <w:bCs/>
          <w:lang w:val="pt-BR"/>
        </w:rPr>
        <w:t>Monica Alvarez, Pedro Castro, Loto</w:t>
      </w:r>
      <w:r w:rsidRPr="00F53F28">
        <w:rPr>
          <w:rFonts w:ascii="Arial" w:hAnsi="Arial" w:cs="Arial"/>
          <w:bCs/>
          <w:lang w:val="pt-BR"/>
        </w:rPr>
        <w:t xml:space="preserve"> Karina; </w:t>
      </w:r>
      <w:r w:rsidRPr="00F53F28">
        <w:rPr>
          <w:rFonts w:ascii="Arial" w:hAnsi="Arial" w:cs="Arial"/>
          <w:bCs/>
          <w:lang w:val="pt-BR"/>
        </w:rPr>
        <w:t xml:space="preserve">Ricardo </w:t>
      </w:r>
      <w:proofErr w:type="spellStart"/>
      <w:r w:rsidRPr="00F53F28">
        <w:rPr>
          <w:rFonts w:ascii="Arial" w:hAnsi="Arial" w:cs="Arial"/>
          <w:bCs/>
          <w:lang w:val="pt-BR"/>
        </w:rPr>
        <w:t>Monla</w:t>
      </w:r>
      <w:proofErr w:type="spellEnd"/>
      <w:r w:rsidRPr="00F53F28">
        <w:rPr>
          <w:rFonts w:ascii="Arial" w:hAnsi="Arial" w:cs="Arial"/>
          <w:bCs/>
          <w:lang w:val="pt-BR"/>
        </w:rPr>
        <w:t xml:space="preserve">, Hugo </w:t>
      </w:r>
      <w:proofErr w:type="spellStart"/>
      <w:r w:rsidRPr="00F53F28">
        <w:rPr>
          <w:rFonts w:ascii="Arial" w:hAnsi="Arial" w:cs="Arial"/>
          <w:bCs/>
          <w:lang w:val="pt-BR"/>
        </w:rPr>
        <w:t>Ruartez</w:t>
      </w:r>
      <w:bookmarkEnd w:id="0"/>
      <w:proofErr w:type="spellEnd"/>
    </w:p>
    <w:p w:rsidR="004300DC" w:rsidRPr="00F53F28" w:rsidRDefault="004300DC" w:rsidP="00F53F28">
      <w:pPr>
        <w:shd w:val="clear" w:color="auto" w:fill="FFFFFF"/>
        <w:spacing w:after="100" w:afterAutospacing="1" w:line="240" w:lineRule="auto"/>
        <w:jc w:val="both"/>
        <w:outlineLvl w:val="1"/>
        <w:rPr>
          <w:rFonts w:ascii="Arial" w:eastAsia="Times New Roman" w:hAnsi="Arial" w:cs="Arial"/>
          <w:b/>
          <w:bCs/>
          <w:lang w:val="pt-BR" w:eastAsia="es-AR"/>
        </w:rPr>
      </w:pPr>
    </w:p>
    <w:p w:rsidR="00C210F8" w:rsidRPr="00F53F28" w:rsidRDefault="00C210F8" w:rsidP="00F53F28">
      <w:pPr>
        <w:shd w:val="clear" w:color="auto" w:fill="FFFFFF"/>
        <w:spacing w:after="100" w:afterAutospacing="1" w:line="240" w:lineRule="auto"/>
        <w:jc w:val="both"/>
        <w:outlineLvl w:val="1"/>
        <w:rPr>
          <w:rFonts w:ascii="Arial" w:eastAsia="Times New Roman" w:hAnsi="Arial" w:cs="Arial"/>
          <w:lang w:eastAsia="es-AR"/>
        </w:rPr>
      </w:pPr>
      <w:r w:rsidRPr="00F53F28">
        <w:rPr>
          <w:rFonts w:ascii="Arial" w:eastAsia="Times New Roman" w:hAnsi="Arial" w:cs="Arial"/>
          <w:lang w:eastAsia="es-AR"/>
        </w:rPr>
        <w:t>Trabajo Práctico n°1</w:t>
      </w:r>
    </w:p>
    <w:p w:rsidR="00C210F8" w:rsidRPr="00F53F28" w:rsidRDefault="00C210F8" w:rsidP="00F53F28">
      <w:pPr>
        <w:shd w:val="clear" w:color="auto" w:fill="FFFFFF"/>
        <w:spacing w:after="100" w:afterAutospacing="1" w:line="240" w:lineRule="auto"/>
        <w:jc w:val="both"/>
        <w:rPr>
          <w:rFonts w:ascii="Arial" w:eastAsia="Times New Roman" w:hAnsi="Arial" w:cs="Arial"/>
          <w:lang w:eastAsia="es-AR"/>
        </w:rPr>
      </w:pPr>
      <w:r w:rsidRPr="00F53F28">
        <w:rPr>
          <w:rFonts w:ascii="Arial" w:eastAsia="Times New Roman" w:hAnsi="Arial" w:cs="Arial"/>
          <w:lang w:eastAsia="es-AR"/>
        </w:rPr>
        <w:t>Título del informe: “La educación en tiempos de la pandemia de COVID-19” Informe COVID-19 /CEPAL UNESCO</w:t>
      </w:r>
    </w:p>
    <w:p w:rsidR="00C210F8" w:rsidRPr="00F53F28" w:rsidRDefault="00C210F8" w:rsidP="00F53F28">
      <w:pPr>
        <w:shd w:val="clear" w:color="auto" w:fill="FFFFFF"/>
        <w:spacing w:after="100" w:afterAutospacing="1" w:line="240" w:lineRule="auto"/>
        <w:jc w:val="both"/>
        <w:rPr>
          <w:rFonts w:ascii="Arial" w:eastAsia="Times New Roman" w:hAnsi="Arial" w:cs="Arial"/>
          <w:lang w:eastAsia="es-AR"/>
        </w:rPr>
      </w:pPr>
      <w:proofErr w:type="spellStart"/>
      <w:r w:rsidRPr="00F53F28">
        <w:rPr>
          <w:rFonts w:ascii="Arial" w:eastAsia="Times New Roman" w:hAnsi="Arial" w:cs="Arial"/>
          <w:lang w:eastAsia="es-AR"/>
        </w:rPr>
        <w:t>Tips</w:t>
      </w:r>
      <w:proofErr w:type="spellEnd"/>
      <w:r w:rsidRPr="00F53F28">
        <w:rPr>
          <w:rFonts w:ascii="Arial" w:eastAsia="Times New Roman" w:hAnsi="Arial" w:cs="Arial"/>
          <w:lang w:eastAsia="es-AR"/>
        </w:rPr>
        <w:t xml:space="preserve"> para elaboración:</w:t>
      </w:r>
    </w:p>
    <w:p w:rsidR="00C210F8" w:rsidRPr="00F53F28" w:rsidRDefault="00C210F8" w:rsidP="00F53F28">
      <w:pPr>
        <w:shd w:val="clear" w:color="auto" w:fill="FFFFFF"/>
        <w:spacing w:after="100" w:afterAutospacing="1" w:line="240" w:lineRule="auto"/>
        <w:jc w:val="both"/>
        <w:rPr>
          <w:rFonts w:ascii="Arial" w:eastAsia="Times New Roman" w:hAnsi="Arial" w:cs="Arial"/>
          <w:lang w:eastAsia="es-AR"/>
        </w:rPr>
      </w:pPr>
      <w:r w:rsidRPr="00F53F28">
        <w:rPr>
          <w:rFonts w:ascii="Arial" w:eastAsia="Times New Roman" w:hAnsi="Arial" w:cs="Arial"/>
          <w:lang w:eastAsia="es-AR"/>
        </w:rPr>
        <w:t>1) Conformar grupos hasta 5 personas para la elaboración del TP</w:t>
      </w:r>
    </w:p>
    <w:p w:rsidR="00C210F8" w:rsidRPr="00F53F28" w:rsidRDefault="00C210F8" w:rsidP="00F53F28">
      <w:pPr>
        <w:shd w:val="clear" w:color="auto" w:fill="FFFFFF"/>
        <w:spacing w:after="100" w:afterAutospacing="1" w:line="240" w:lineRule="auto"/>
        <w:jc w:val="both"/>
        <w:rPr>
          <w:rFonts w:ascii="Arial" w:eastAsia="Times New Roman" w:hAnsi="Arial" w:cs="Arial"/>
          <w:lang w:eastAsia="es-AR"/>
        </w:rPr>
      </w:pPr>
      <w:r w:rsidRPr="00F53F28">
        <w:rPr>
          <w:rFonts w:ascii="Arial" w:eastAsia="Times New Roman" w:hAnsi="Arial" w:cs="Arial"/>
          <w:lang w:eastAsia="es-AR"/>
        </w:rPr>
        <w:t>2) Subir a la plataforma </w:t>
      </w:r>
      <w:r w:rsidRPr="00F53F28">
        <w:rPr>
          <w:rFonts w:ascii="Arial" w:eastAsia="Times New Roman" w:hAnsi="Arial" w:cs="Arial"/>
          <w:b/>
          <w:bCs/>
          <w:lang w:eastAsia="es-AR"/>
        </w:rPr>
        <w:t>sólo un trabajo</w:t>
      </w:r>
      <w:r w:rsidRPr="00F53F28">
        <w:rPr>
          <w:rFonts w:ascii="Arial" w:eastAsia="Times New Roman" w:hAnsi="Arial" w:cs="Arial"/>
          <w:lang w:eastAsia="es-AR"/>
        </w:rPr>
        <w:t> que contenga el nombre de todos/as los/as integrantes.</w:t>
      </w:r>
    </w:p>
    <w:p w:rsidR="00A005A4" w:rsidRPr="00F53F28" w:rsidRDefault="00A005A4" w:rsidP="00F53F28">
      <w:pPr>
        <w:pStyle w:val="NormalWeb"/>
        <w:shd w:val="clear" w:color="auto" w:fill="FFFFFF"/>
        <w:spacing w:before="0" w:beforeAutospacing="0"/>
        <w:jc w:val="both"/>
        <w:rPr>
          <w:rFonts w:ascii="Arial" w:hAnsi="Arial" w:cs="Arial"/>
          <w:b/>
          <w:bCs/>
          <w:color w:val="000000" w:themeColor="text1"/>
          <w:sz w:val="22"/>
          <w:szCs w:val="22"/>
        </w:rPr>
      </w:pPr>
      <w:r w:rsidRPr="00F53F28">
        <w:rPr>
          <w:rFonts w:ascii="Arial" w:hAnsi="Arial" w:cs="Arial"/>
          <w:b/>
          <w:bCs/>
          <w:color w:val="000000" w:themeColor="text1"/>
          <w:sz w:val="22"/>
          <w:szCs w:val="22"/>
        </w:rPr>
        <w:t>Respuestas</w:t>
      </w:r>
    </w:p>
    <w:p w:rsidR="00A005A4" w:rsidRPr="00F53F28" w:rsidRDefault="00A005A4" w:rsidP="00F53F28">
      <w:pPr>
        <w:pStyle w:val="NormalWeb"/>
        <w:numPr>
          <w:ilvl w:val="0"/>
          <w:numId w:val="1"/>
        </w:numPr>
        <w:shd w:val="clear" w:color="auto" w:fill="FFFFFF"/>
        <w:spacing w:before="0" w:beforeAutospacing="0"/>
        <w:jc w:val="both"/>
        <w:rPr>
          <w:rFonts w:ascii="Arial" w:hAnsi="Arial" w:cs="Arial"/>
          <w:color w:val="000000" w:themeColor="text1"/>
          <w:sz w:val="22"/>
          <w:szCs w:val="22"/>
        </w:rPr>
      </w:pPr>
      <w:r w:rsidRPr="00F53F28">
        <w:rPr>
          <w:rFonts w:ascii="Arial" w:hAnsi="Arial" w:cs="Arial"/>
          <w:color w:val="000000" w:themeColor="text1"/>
          <w:sz w:val="22"/>
          <w:szCs w:val="22"/>
        </w:rPr>
        <w:t>¿qué impacto ha tenido la pandemia en la educación según la CEPAL-UNESCO?</w:t>
      </w:r>
    </w:p>
    <w:p w:rsidR="00A005A4" w:rsidRPr="00F53F28" w:rsidRDefault="00A005A4" w:rsidP="00F53F28">
      <w:pPr>
        <w:pStyle w:val="NormalWeb"/>
        <w:shd w:val="clear" w:color="auto" w:fill="FFFFFF"/>
        <w:spacing w:before="0" w:beforeAutospacing="0"/>
        <w:ind w:left="720"/>
        <w:jc w:val="both"/>
        <w:rPr>
          <w:rFonts w:ascii="Arial" w:hAnsi="Arial" w:cs="Arial"/>
          <w:color w:val="000000" w:themeColor="text1"/>
          <w:sz w:val="22"/>
          <w:szCs w:val="22"/>
        </w:rPr>
      </w:pPr>
      <w:r w:rsidRPr="00F53F28">
        <w:rPr>
          <w:rFonts w:ascii="Arial" w:hAnsi="Arial" w:cs="Arial"/>
          <w:color w:val="000000" w:themeColor="text1"/>
          <w:sz w:val="22"/>
          <w:szCs w:val="22"/>
        </w:rPr>
        <w:t>En todos los ámbitos el COVID-19 ha provocado una crisis</w:t>
      </w:r>
      <w:r w:rsidR="00ED17ED" w:rsidRPr="00F53F28">
        <w:rPr>
          <w:rFonts w:ascii="Arial" w:hAnsi="Arial" w:cs="Arial"/>
          <w:color w:val="000000" w:themeColor="text1"/>
          <w:sz w:val="22"/>
          <w:szCs w:val="22"/>
        </w:rPr>
        <w:t xml:space="preserve"> a nivel mundial</w:t>
      </w:r>
      <w:r w:rsidRPr="00F53F28">
        <w:rPr>
          <w:rFonts w:ascii="Arial" w:hAnsi="Arial" w:cs="Arial"/>
          <w:color w:val="000000" w:themeColor="text1"/>
          <w:sz w:val="22"/>
          <w:szCs w:val="22"/>
        </w:rPr>
        <w:t xml:space="preserve"> y en educación dio cierre de actividades presenciales de instituciones educativas con el fin de evitar la extensión del virus y atenuar su impacto. </w:t>
      </w:r>
      <w:r w:rsidR="00ED17ED" w:rsidRPr="00F53F28">
        <w:rPr>
          <w:rFonts w:ascii="Arial" w:hAnsi="Arial" w:cs="Arial"/>
          <w:sz w:val="22"/>
          <w:szCs w:val="22"/>
        </w:rPr>
        <w:t>L</w:t>
      </w:r>
      <w:r w:rsidR="00ED17ED" w:rsidRPr="00F53F28">
        <w:rPr>
          <w:rFonts w:ascii="Arial" w:hAnsi="Arial" w:cs="Arial"/>
          <w:sz w:val="22"/>
          <w:szCs w:val="22"/>
        </w:rPr>
        <w:t>o que ha dado origen a tres campos de acción principales: el despliegue de modalidades de aprendizaje a distancia, mediante la utilización de una diversidad de formatos y plataformas (con o sin uso de tecnología); el apoyo y la movilización del personal y las comunidades educativas, y la atención a la salud y el bienestar integral de las y los estudiantes.</w:t>
      </w:r>
    </w:p>
    <w:p w:rsidR="000F4291" w:rsidRPr="00F53F28" w:rsidRDefault="000F4291" w:rsidP="00F53F28">
      <w:pPr>
        <w:pStyle w:val="NormalWeb"/>
        <w:shd w:val="clear" w:color="auto" w:fill="FFFFFF"/>
        <w:spacing w:before="0" w:beforeAutospacing="0"/>
        <w:jc w:val="both"/>
        <w:rPr>
          <w:rFonts w:ascii="Arial" w:hAnsi="Arial" w:cs="Arial"/>
          <w:color w:val="000000" w:themeColor="text1"/>
          <w:sz w:val="22"/>
          <w:szCs w:val="22"/>
        </w:rPr>
      </w:pPr>
      <w:r w:rsidRPr="00F53F28">
        <w:rPr>
          <w:rFonts w:ascii="Arial" w:hAnsi="Arial" w:cs="Arial"/>
          <w:color w:val="000000" w:themeColor="text1"/>
          <w:sz w:val="22"/>
          <w:szCs w:val="22"/>
        </w:rPr>
        <w:t>2) ¿Cuál es el objetivo del estudio?</w:t>
      </w:r>
    </w:p>
    <w:p w:rsidR="000F4291" w:rsidRPr="00F53F28" w:rsidRDefault="00ED17ED" w:rsidP="00F53F28">
      <w:pPr>
        <w:pStyle w:val="NormalWeb"/>
        <w:shd w:val="clear" w:color="auto" w:fill="FFFFFF"/>
        <w:spacing w:before="0" w:beforeAutospacing="0"/>
        <w:ind w:left="720"/>
        <w:jc w:val="both"/>
        <w:rPr>
          <w:rFonts w:ascii="Arial" w:hAnsi="Arial" w:cs="Arial"/>
          <w:sz w:val="22"/>
          <w:szCs w:val="22"/>
        </w:rPr>
      </w:pPr>
      <w:r w:rsidRPr="00F53F28">
        <w:rPr>
          <w:rFonts w:ascii="Arial" w:hAnsi="Arial" w:cs="Arial"/>
          <w:sz w:val="22"/>
          <w:szCs w:val="22"/>
        </w:rPr>
        <w:t xml:space="preserve">El objetivo es </w:t>
      </w:r>
      <w:r w:rsidRPr="00F53F28">
        <w:rPr>
          <w:rFonts w:ascii="Arial" w:hAnsi="Arial" w:cs="Arial"/>
          <w:sz w:val="22"/>
          <w:szCs w:val="22"/>
        </w:rPr>
        <w:t>entrever</w:t>
      </w:r>
      <w:r w:rsidRPr="00F53F28">
        <w:rPr>
          <w:rFonts w:ascii="Arial" w:hAnsi="Arial" w:cs="Arial"/>
          <w:sz w:val="22"/>
          <w:szCs w:val="22"/>
        </w:rPr>
        <w:t xml:space="preserve"> la diversidad de consecuencias que estas medidas tendrán sobre las comunidades educativas a corto y mediano plazo, así como plantear las principales recomendaciones para sobrellevar el impacto de la mejor manera posible, proyectando oportunidades para el aprendizaje y la innovación en la educación posterior a la pandemia.</w:t>
      </w:r>
    </w:p>
    <w:p w:rsidR="00ED17ED" w:rsidRPr="00F53F28" w:rsidRDefault="00ED17ED" w:rsidP="00F53F28">
      <w:pPr>
        <w:pStyle w:val="NormalWeb"/>
        <w:numPr>
          <w:ilvl w:val="0"/>
          <w:numId w:val="2"/>
        </w:numPr>
        <w:shd w:val="clear" w:color="auto" w:fill="FFFFFF"/>
        <w:spacing w:before="0" w:beforeAutospacing="0"/>
        <w:ind w:left="426" w:hanging="426"/>
        <w:jc w:val="both"/>
        <w:rPr>
          <w:rFonts w:ascii="Arial" w:hAnsi="Arial" w:cs="Arial"/>
          <w:color w:val="000000" w:themeColor="text1"/>
          <w:sz w:val="22"/>
          <w:szCs w:val="22"/>
        </w:rPr>
      </w:pPr>
      <w:r w:rsidRPr="00F53F28">
        <w:rPr>
          <w:rFonts w:ascii="Arial" w:hAnsi="Arial" w:cs="Arial"/>
          <w:color w:val="000000" w:themeColor="text1"/>
          <w:sz w:val="22"/>
          <w:szCs w:val="22"/>
        </w:rPr>
        <w:t>Identificar todos los enfoques cuantitativos que figuran en el estudio (datos).</w:t>
      </w:r>
    </w:p>
    <w:p w:rsidR="000F4045" w:rsidRPr="00F53F28" w:rsidRDefault="00F670B7" w:rsidP="00F53F28">
      <w:pPr>
        <w:pStyle w:val="NormalWeb"/>
        <w:shd w:val="clear" w:color="auto" w:fill="FFFFFF"/>
        <w:spacing w:before="0" w:beforeAutospacing="0"/>
        <w:ind w:left="426"/>
        <w:jc w:val="both"/>
        <w:rPr>
          <w:rFonts w:ascii="Arial" w:hAnsi="Arial" w:cs="Arial"/>
          <w:color w:val="000000" w:themeColor="text1"/>
          <w:sz w:val="22"/>
          <w:szCs w:val="22"/>
        </w:rPr>
      </w:pPr>
      <w:r w:rsidRPr="00F53F28">
        <w:rPr>
          <w:rFonts w:ascii="Arial" w:hAnsi="Arial" w:cs="Arial"/>
          <w:color w:val="000000" w:themeColor="text1"/>
          <w:sz w:val="22"/>
          <w:szCs w:val="22"/>
        </w:rPr>
        <w:t xml:space="preserve">Se </w:t>
      </w:r>
      <w:r w:rsidR="000F4045" w:rsidRPr="00F53F28">
        <w:rPr>
          <w:rFonts w:ascii="Arial" w:hAnsi="Arial" w:cs="Arial"/>
          <w:color w:val="000000" w:themeColor="text1"/>
          <w:sz w:val="22"/>
          <w:szCs w:val="22"/>
        </w:rPr>
        <w:t>puede identificar s</w:t>
      </w:r>
      <w:r w:rsidR="00F53F28" w:rsidRPr="00F53F28">
        <w:rPr>
          <w:rFonts w:ascii="Arial" w:hAnsi="Arial" w:cs="Arial"/>
          <w:color w:val="000000" w:themeColor="text1"/>
          <w:sz w:val="22"/>
          <w:szCs w:val="22"/>
        </w:rPr>
        <w:t>iete</w:t>
      </w:r>
      <w:r w:rsidR="000F4045" w:rsidRPr="00F53F28">
        <w:rPr>
          <w:rFonts w:ascii="Arial" w:hAnsi="Arial" w:cs="Arial"/>
          <w:color w:val="000000" w:themeColor="text1"/>
          <w:sz w:val="22"/>
          <w:szCs w:val="22"/>
        </w:rPr>
        <w:t xml:space="preserve"> gráficos de aporte cuantitativos, daremos el ejemplo de uno de ellos. </w:t>
      </w:r>
    </w:p>
    <w:p w:rsidR="00DB3FD0" w:rsidRPr="00F53F28" w:rsidRDefault="00DB3FD0" w:rsidP="00F53F28">
      <w:pPr>
        <w:pStyle w:val="NormalWeb"/>
        <w:shd w:val="clear" w:color="auto" w:fill="FFFFFF"/>
        <w:spacing w:before="0" w:beforeAutospacing="0"/>
        <w:ind w:left="426"/>
        <w:jc w:val="both"/>
        <w:rPr>
          <w:rFonts w:ascii="Arial" w:hAnsi="Arial" w:cs="Arial"/>
          <w:sz w:val="22"/>
          <w:szCs w:val="22"/>
        </w:rPr>
      </w:pPr>
      <w:r w:rsidRPr="00F53F28">
        <w:rPr>
          <w:rFonts w:ascii="Arial" w:hAnsi="Arial" w:cs="Arial"/>
          <w:sz w:val="22"/>
          <w:szCs w:val="22"/>
        </w:rPr>
        <w:lastRenderedPageBreak/>
        <w:t xml:space="preserve">La información recolectada sobre los 33 países de América Latina y el Caribe hasta el 7 de julio de 2020 permite constatar que en el ámbito educativo gran parte de las medidas tomadas se relacionan con la suspensión de las clases presenciales en todos los niveles educativos. De dichos países, 32 suspendieron las clases presenciales y 29 mantienen una suspensión a nivel nacional (en Nicaragua no se han suspendido las clases). En el Uruguay se inició el retorno a clases en zonas rurales a partir del 22 de abril y el 29 de junio retornaron el resto de las escuelas. En San Vicente y las </w:t>
      </w:r>
      <w:proofErr w:type="gramStart"/>
      <w:r w:rsidRPr="00F53F28">
        <w:rPr>
          <w:rFonts w:ascii="Arial" w:hAnsi="Arial" w:cs="Arial"/>
          <w:sz w:val="22"/>
          <w:szCs w:val="22"/>
        </w:rPr>
        <w:t>Granadinas</w:t>
      </w:r>
      <w:proofErr w:type="gramEnd"/>
      <w:r w:rsidRPr="00F53F28">
        <w:rPr>
          <w:rFonts w:ascii="Arial" w:hAnsi="Arial" w:cs="Arial"/>
          <w:sz w:val="22"/>
          <w:szCs w:val="22"/>
        </w:rPr>
        <w:t xml:space="preserve"> se comenzó un retorno parcializado desde el 25 de mayo y en el Ecuador se retornó a clases presenciales a partir del 1 de junio. En Belice, Granada y Santa Lucía hubo un retorno parcial a las clases presenciales en junio. Hasta la fecha de la revisión, la población estudiantil afectada por estas medidas en los 32 países llegó a superar los 165 millones de estudiantes de acuerdo con la información oficial de la UNESCO</w:t>
      </w:r>
      <w:r w:rsidRPr="00F53F28">
        <w:rPr>
          <w:rFonts w:ascii="Arial" w:hAnsi="Arial" w:cs="Arial"/>
          <w:sz w:val="22"/>
          <w:szCs w:val="22"/>
        </w:rPr>
        <w:t>.</w:t>
      </w:r>
    </w:p>
    <w:p w:rsidR="00DB3FD0" w:rsidRPr="00F53F28" w:rsidRDefault="00DB3FD0" w:rsidP="00F53F28">
      <w:pPr>
        <w:pStyle w:val="NormalWeb"/>
        <w:shd w:val="clear" w:color="auto" w:fill="FFFFFF"/>
        <w:spacing w:before="0" w:beforeAutospacing="0"/>
        <w:ind w:left="426"/>
        <w:jc w:val="both"/>
        <w:rPr>
          <w:rFonts w:ascii="Arial" w:hAnsi="Arial" w:cs="Arial"/>
          <w:sz w:val="22"/>
          <w:szCs w:val="22"/>
        </w:rPr>
      </w:pPr>
      <w:r w:rsidRPr="00F53F28">
        <w:rPr>
          <w:rFonts w:ascii="Arial" w:hAnsi="Arial" w:cs="Arial"/>
          <w:sz w:val="22"/>
          <w:szCs w:val="22"/>
        </w:rPr>
        <w:t xml:space="preserve">Además de interrumpir las trayectorias educativas, el cierre de las escuelas afecta la alimentación y la nutrición de la población estudiantil, especialmente en los sectores más vulnerables. En el momento de elaboración de este documento (inicios de julio), se observa que 21 de los 33 países han mantenido los programas de alimentación escolar de diversas formas. La modalidad más utilizada (13 países) es la entrega de kits de alimentos para preparar en el hogar, seguida de la provisión de almuerzos (3 países) y, en menor medida, las transferencias monetarias y la entrega de vales para alimentos. Adicionalmente, muchos estudiantes acceden a través de las escuelas a otros servicios que también se han visto interrumpidos como, por ejemplo, la entrega de anticonceptivos, servicios de salud mental o actividades recreativas. En gran parte de los países (29 de los 33) se han establecido formas de continuidad de los estudios en diversas modalidades a distancia. Entre ellos, 26 países </w:t>
      </w:r>
      <w:proofErr w:type="spellStart"/>
      <w:r w:rsidRPr="00F53F28">
        <w:rPr>
          <w:rFonts w:ascii="Arial" w:hAnsi="Arial" w:cs="Arial"/>
          <w:sz w:val="22"/>
          <w:szCs w:val="22"/>
        </w:rPr>
        <w:t>impleme</w:t>
      </w:r>
      <w:proofErr w:type="spellEnd"/>
      <w:r w:rsidR="00F53F28">
        <w:rPr>
          <w:rFonts w:ascii="Arial" w:hAnsi="Arial" w:cs="Arial"/>
          <w:sz w:val="22"/>
          <w:szCs w:val="22"/>
        </w:rPr>
        <w:t xml:space="preserve"> </w:t>
      </w:r>
      <w:bookmarkStart w:id="1" w:name="_GoBack"/>
      <w:bookmarkEnd w:id="1"/>
      <w:r w:rsidRPr="00F53F28">
        <w:rPr>
          <w:rFonts w:ascii="Arial" w:hAnsi="Arial" w:cs="Arial"/>
          <w:sz w:val="22"/>
          <w:szCs w:val="22"/>
        </w:rPr>
        <w:t>por Internet y 24 establecieron estrategias de aprendizaje a distancia en modalidades fuera de línea, incluidos 22 países en que se ofrece aprendizaje a distancia en ambas modalidades (fuera de línea y en línea), 4 que cuentan con modalidades exclusivamente en línea y 2 con modalidades solo fuera de línea. Entre las modalidades de aprendizaje a distancia en línea destaca el uso de plataformas virtuales de aprendizaje asincrónico, utilizadas en 18 países, en tanto que solo 4 países ofrecen clases en vivo (Bahamas, Costa Rica, Ecuador y Panamá). A su vez, entre las formas de aprendizaje a la distancia fuera de línea, 23 países realizan transmisiones de programas educativos por medios de comunicación tradicionales como la radio o la televisión formas de aprendizaje</w:t>
      </w:r>
      <w:r w:rsidRPr="00F53F28">
        <w:rPr>
          <w:rFonts w:ascii="Arial" w:hAnsi="Arial" w:cs="Arial"/>
          <w:sz w:val="22"/>
          <w:szCs w:val="22"/>
        </w:rPr>
        <w:t>.</w:t>
      </w:r>
    </w:p>
    <w:p w:rsidR="00ED17ED" w:rsidRPr="00F53F28" w:rsidRDefault="00ED17ED" w:rsidP="00F53F28">
      <w:pPr>
        <w:pStyle w:val="NormalWeb"/>
        <w:numPr>
          <w:ilvl w:val="0"/>
          <w:numId w:val="2"/>
        </w:numPr>
        <w:shd w:val="clear" w:color="auto" w:fill="FFFFFF"/>
        <w:spacing w:before="0" w:beforeAutospacing="0"/>
        <w:ind w:left="426" w:hanging="426"/>
        <w:jc w:val="both"/>
        <w:rPr>
          <w:rFonts w:ascii="Arial" w:hAnsi="Arial" w:cs="Arial"/>
          <w:color w:val="000000" w:themeColor="text1"/>
          <w:sz w:val="22"/>
          <w:szCs w:val="22"/>
        </w:rPr>
      </w:pPr>
      <w:r w:rsidRPr="00F53F28">
        <w:rPr>
          <w:rFonts w:ascii="Arial" w:hAnsi="Arial" w:cs="Arial"/>
          <w:color w:val="000000" w:themeColor="text1"/>
          <w:sz w:val="22"/>
          <w:szCs w:val="22"/>
        </w:rPr>
        <w:t>Identificar toda la información cualitativa que figuran en el estudio (características).</w:t>
      </w:r>
    </w:p>
    <w:p w:rsidR="00ED17ED" w:rsidRPr="00F53F28" w:rsidRDefault="009D403E" w:rsidP="00F53F28">
      <w:pPr>
        <w:pStyle w:val="Prrafodelista"/>
        <w:jc w:val="both"/>
        <w:rPr>
          <w:rFonts w:ascii="Arial" w:hAnsi="Arial" w:cs="Arial"/>
          <w:color w:val="000000" w:themeColor="text1"/>
        </w:rPr>
      </w:pPr>
      <w:r w:rsidRPr="00F53F28">
        <w:rPr>
          <w:rFonts w:ascii="Arial" w:hAnsi="Arial" w:cs="Arial"/>
        </w:rPr>
        <w:t xml:space="preserve">Se identifica </w:t>
      </w:r>
      <w:r w:rsidRPr="00F53F28">
        <w:rPr>
          <w:rFonts w:ascii="Arial" w:hAnsi="Arial" w:cs="Arial"/>
        </w:rPr>
        <w:t>encuesta internacional sobre enseñanza y aprendizaje (TALIS) de la OCDE (2019)</w:t>
      </w:r>
      <w:r w:rsidRPr="00F53F28">
        <w:rPr>
          <w:rFonts w:ascii="Arial" w:hAnsi="Arial" w:cs="Arial"/>
        </w:rPr>
        <w:t>.</w:t>
      </w:r>
    </w:p>
    <w:p w:rsidR="00ED17ED" w:rsidRPr="00F53F28" w:rsidRDefault="00ED17ED" w:rsidP="00F53F28">
      <w:pPr>
        <w:pStyle w:val="NormalWeb"/>
        <w:numPr>
          <w:ilvl w:val="0"/>
          <w:numId w:val="2"/>
        </w:numPr>
        <w:shd w:val="clear" w:color="auto" w:fill="FFFFFF"/>
        <w:spacing w:before="0" w:beforeAutospacing="0"/>
        <w:ind w:left="426" w:hanging="426"/>
        <w:jc w:val="both"/>
        <w:rPr>
          <w:rFonts w:ascii="Arial" w:hAnsi="Arial" w:cs="Arial"/>
          <w:color w:val="000000" w:themeColor="text1"/>
          <w:sz w:val="22"/>
          <w:szCs w:val="22"/>
        </w:rPr>
      </w:pPr>
      <w:r w:rsidRPr="00F53F28">
        <w:rPr>
          <w:rFonts w:ascii="Arial" w:hAnsi="Arial" w:cs="Arial"/>
          <w:color w:val="000000" w:themeColor="text1"/>
          <w:sz w:val="22"/>
          <w:szCs w:val="22"/>
        </w:rPr>
        <w:t>¿Qué estrategias han implementado los países para dar continuidad de los aprendizajes?</w:t>
      </w:r>
    </w:p>
    <w:p w:rsidR="00F857EC" w:rsidRPr="00F53F28" w:rsidRDefault="00F670B7" w:rsidP="00F53F28">
      <w:pPr>
        <w:pStyle w:val="NormalWeb"/>
        <w:shd w:val="clear" w:color="auto" w:fill="FFFFFF"/>
        <w:spacing w:before="0" w:beforeAutospacing="0"/>
        <w:ind w:left="720"/>
        <w:jc w:val="both"/>
        <w:rPr>
          <w:rFonts w:ascii="Arial" w:hAnsi="Arial" w:cs="Arial"/>
          <w:color w:val="000000" w:themeColor="text1"/>
          <w:sz w:val="22"/>
          <w:szCs w:val="22"/>
        </w:rPr>
      </w:pPr>
      <w:r w:rsidRPr="00F53F28">
        <w:rPr>
          <w:rFonts w:ascii="Arial" w:hAnsi="Arial" w:cs="Arial"/>
          <w:sz w:val="22"/>
          <w:szCs w:val="22"/>
        </w:rPr>
        <w:t>H</w:t>
      </w:r>
      <w:r w:rsidRPr="00F53F28">
        <w:rPr>
          <w:rFonts w:ascii="Arial" w:hAnsi="Arial" w:cs="Arial"/>
          <w:sz w:val="22"/>
          <w:szCs w:val="22"/>
        </w:rPr>
        <w:t>an abordado mediante diferentes alternativas y soluciones en relación con los calendarios escolares y las formas de implementación del currículo, por medios no presenciales y con diversas formas de adaptación, priorización y ajuste.</w:t>
      </w:r>
      <w:r w:rsidRPr="00F53F28">
        <w:rPr>
          <w:rFonts w:ascii="Arial" w:hAnsi="Arial" w:cs="Arial"/>
          <w:sz w:val="22"/>
          <w:szCs w:val="22"/>
        </w:rPr>
        <w:t xml:space="preserve"> Las </w:t>
      </w:r>
      <w:r w:rsidRPr="00F53F28">
        <w:rPr>
          <w:rFonts w:ascii="Arial" w:hAnsi="Arial" w:cs="Arial"/>
          <w:sz w:val="22"/>
          <w:szCs w:val="22"/>
        </w:rPr>
        <w:t xml:space="preserve">plataformas digitales para la conexión remota, que han sido reforzados a una velocidad sin precedentes por los Ministerios de Educación con recursos en línea y la implementación de programación en televisión abierta o </w:t>
      </w:r>
      <w:r w:rsidR="00F53F28" w:rsidRPr="00F53F28">
        <w:rPr>
          <w:rFonts w:ascii="Arial" w:hAnsi="Arial" w:cs="Arial"/>
          <w:sz w:val="22"/>
          <w:szCs w:val="22"/>
        </w:rPr>
        <w:t>radio. En</w:t>
      </w:r>
      <w:r w:rsidR="00F857EC" w:rsidRPr="00F53F28">
        <w:rPr>
          <w:rFonts w:ascii="Arial" w:hAnsi="Arial" w:cs="Arial"/>
          <w:sz w:val="22"/>
          <w:szCs w:val="22"/>
        </w:rPr>
        <w:t xml:space="preserve"> la adaptación, la flexibilización y la contextualización curricular se deben considerar elementos como la priorización de objetivos de aprendizaje y contenidos que permitan lograr una mejor comprensión de la crisis y responder a ella de mejor </w:t>
      </w:r>
      <w:r w:rsidR="00F857EC" w:rsidRPr="00F53F28">
        <w:rPr>
          <w:rFonts w:ascii="Arial" w:hAnsi="Arial" w:cs="Arial"/>
          <w:sz w:val="22"/>
          <w:szCs w:val="22"/>
        </w:rPr>
        <w:lastRenderedPageBreak/>
        <w:t>forma, incorporando aspectos relativos al cuidado y la salud, el pensamiento crítico y reflexivo en torno a informaciones y noticias, la comprensión de dinámicas sociales y económicas, y el fortalecimiento de conductas de empatía, tolerancia y no discriminación, entre otros. Por otro lado, se debe buscar un equilibrio entre la identificación de competencias centrales, que serán necesarias para continuar aprendiendo, y la profundización del carácter integral y humanista de la educación, sin ceder a la presión por fortalecer solamente los aprendizajes instrumentales</w:t>
      </w:r>
      <w:r w:rsidR="00F857EC" w:rsidRPr="00F53F28">
        <w:rPr>
          <w:rFonts w:ascii="Arial" w:hAnsi="Arial" w:cs="Arial"/>
          <w:sz w:val="22"/>
          <w:szCs w:val="22"/>
        </w:rPr>
        <w:t xml:space="preserve">. </w:t>
      </w:r>
      <w:r w:rsidR="00F857EC" w:rsidRPr="00F53F28">
        <w:rPr>
          <w:rFonts w:ascii="Arial" w:hAnsi="Arial" w:cs="Arial"/>
          <w:sz w:val="22"/>
          <w:szCs w:val="22"/>
        </w:rPr>
        <w:t>los ajustes curriculares y los recursos pedagógicos que se elaboren deben considerar las necesidades de colectivos que tienen requerimientos específicos. Por ejemplo, es fundamental realizar las adecuaciones y proveer los apoyos necesarios para estudiantes con discapacidad o en condiciones y situaciones diversas que han dificultado la continuación de estudios. También se debe abordar la diversidad lingüística y cultural de poblaciones migrantes y de comunidades indígenas. Igualmente, es necesario incorporar un enfoque de género, que permita visibilizar y erradicar situaciones de desigualdad o violencia de género que podrían estar viéndose profundizadas en el contexto de confinamiento.</w:t>
      </w:r>
    </w:p>
    <w:p w:rsidR="00ED17ED" w:rsidRPr="00F53F28" w:rsidRDefault="00ED17ED" w:rsidP="00F53F28">
      <w:pPr>
        <w:pStyle w:val="NormalWeb"/>
        <w:numPr>
          <w:ilvl w:val="0"/>
          <w:numId w:val="2"/>
        </w:numPr>
        <w:shd w:val="clear" w:color="auto" w:fill="FFFFFF"/>
        <w:spacing w:before="0" w:beforeAutospacing="0"/>
        <w:jc w:val="both"/>
        <w:rPr>
          <w:rFonts w:ascii="Arial" w:hAnsi="Arial" w:cs="Arial"/>
          <w:sz w:val="22"/>
          <w:szCs w:val="22"/>
        </w:rPr>
      </w:pPr>
      <w:r w:rsidRPr="00F53F28">
        <w:rPr>
          <w:rFonts w:ascii="Arial" w:hAnsi="Arial" w:cs="Arial"/>
          <w:sz w:val="22"/>
          <w:szCs w:val="22"/>
        </w:rPr>
        <w:t>¿se nombra a la Argentina en el estudio? En caso de hacerlo, analizar la información.</w:t>
      </w:r>
    </w:p>
    <w:p w:rsidR="000F4045" w:rsidRPr="00F53F28" w:rsidRDefault="000F4045" w:rsidP="00F53F28">
      <w:pPr>
        <w:pStyle w:val="NormalWeb"/>
        <w:shd w:val="clear" w:color="auto" w:fill="FFFFFF"/>
        <w:spacing w:before="0" w:beforeAutospacing="0"/>
        <w:ind w:left="720"/>
        <w:jc w:val="both"/>
        <w:rPr>
          <w:rFonts w:ascii="Arial" w:hAnsi="Arial" w:cs="Arial"/>
          <w:sz w:val="22"/>
          <w:szCs w:val="22"/>
        </w:rPr>
      </w:pPr>
      <w:r w:rsidRPr="00F53F28">
        <w:rPr>
          <w:rFonts w:ascii="Arial" w:hAnsi="Arial" w:cs="Arial"/>
          <w:sz w:val="22"/>
          <w:szCs w:val="22"/>
        </w:rPr>
        <w:t xml:space="preserve">Se nombra en </w:t>
      </w:r>
      <w:r w:rsidRPr="00F53F28">
        <w:rPr>
          <w:rFonts w:ascii="Arial" w:hAnsi="Arial" w:cs="Arial"/>
          <w:sz w:val="22"/>
          <w:szCs w:val="22"/>
        </w:rPr>
        <w:t>las nuevas condiciones han requerido que el profesorado utilice plataformas y metodologías virtuales con las que no necesariamente se encontraba familiarizado. Aunque la mayoría de los países de América Latina participantes en la última encuesta internacional sobre enseñanza y aprendizaje (TALIS) de la OCDE (2019) informan que el profesorado ha recibido formación en herramientas de TIC para la enseñanza en la educación inicial</w:t>
      </w:r>
      <w:r w:rsidRPr="00F53F28">
        <w:rPr>
          <w:rFonts w:ascii="Arial" w:hAnsi="Arial" w:cs="Arial"/>
          <w:sz w:val="22"/>
          <w:szCs w:val="22"/>
        </w:rPr>
        <w:t xml:space="preserve"> </w:t>
      </w:r>
      <w:r w:rsidRPr="00F53F28">
        <w:rPr>
          <w:rFonts w:ascii="Arial" w:hAnsi="Arial" w:cs="Arial"/>
          <w:sz w:val="22"/>
          <w:szCs w:val="22"/>
        </w:rPr>
        <w:t>el 53% en la Ciudad de Buenos Aires), las y los docentes de estos países consideran que tienen una alta necesidad de formación en esta materia, que ocupa el segundo lugar entre las más demandadas</w:t>
      </w:r>
      <w:r w:rsidRPr="00F53F28">
        <w:rPr>
          <w:rFonts w:ascii="Arial" w:hAnsi="Arial" w:cs="Arial"/>
          <w:sz w:val="22"/>
          <w:szCs w:val="22"/>
        </w:rPr>
        <w:t xml:space="preserve"> y  </w:t>
      </w:r>
      <w:r w:rsidRPr="00F53F28">
        <w:rPr>
          <w:rFonts w:ascii="Arial" w:hAnsi="Arial" w:cs="Arial"/>
          <w:sz w:val="22"/>
          <w:szCs w:val="22"/>
        </w:rPr>
        <w:t>el 39% en la Ciudad de Buenos Aires) declara que la tecnología digital de la que disponen sus centros educativos es inadecuada o insuficiente (OCDE, 2019</w:t>
      </w:r>
      <w:r w:rsidRPr="00F53F28">
        <w:rPr>
          <w:rFonts w:ascii="Arial" w:hAnsi="Arial" w:cs="Arial"/>
          <w:sz w:val="22"/>
          <w:szCs w:val="22"/>
        </w:rPr>
        <w:t>).</w:t>
      </w:r>
    </w:p>
    <w:p w:rsidR="00ED17ED" w:rsidRPr="00F53F28" w:rsidRDefault="00112641" w:rsidP="00F53F28">
      <w:pPr>
        <w:pStyle w:val="NormalWeb"/>
        <w:shd w:val="clear" w:color="auto" w:fill="FFFFFF"/>
        <w:spacing w:before="0" w:beforeAutospacing="0"/>
        <w:ind w:left="720"/>
        <w:jc w:val="both"/>
        <w:rPr>
          <w:rFonts w:ascii="Arial" w:hAnsi="Arial" w:cs="Arial"/>
          <w:sz w:val="22"/>
          <w:szCs w:val="22"/>
        </w:rPr>
      </w:pPr>
      <w:r w:rsidRPr="00F53F28">
        <w:rPr>
          <w:rFonts w:ascii="Arial" w:hAnsi="Arial" w:cs="Arial"/>
          <w:sz w:val="22"/>
          <w:szCs w:val="22"/>
        </w:rPr>
        <w:t xml:space="preserve">Como también hace referencia </w:t>
      </w:r>
      <w:proofErr w:type="gramStart"/>
      <w:r w:rsidRPr="00F53F28">
        <w:rPr>
          <w:rFonts w:ascii="Arial" w:hAnsi="Arial" w:cs="Arial"/>
          <w:sz w:val="22"/>
          <w:szCs w:val="22"/>
        </w:rPr>
        <w:t>que</w:t>
      </w:r>
      <w:proofErr w:type="gramEnd"/>
      <w:r w:rsidRPr="00F53F28">
        <w:rPr>
          <w:rFonts w:ascii="Arial" w:hAnsi="Arial" w:cs="Arial"/>
          <w:sz w:val="22"/>
          <w:szCs w:val="22"/>
        </w:rPr>
        <w:t xml:space="preserve"> en</w:t>
      </w:r>
      <w:r w:rsidRPr="00F53F28">
        <w:rPr>
          <w:rFonts w:ascii="Arial" w:hAnsi="Arial" w:cs="Arial"/>
          <w:sz w:val="22"/>
          <w:szCs w:val="22"/>
        </w:rPr>
        <w:t xml:space="preserve"> la Argentina, existen propuestas de ofrecer créditos del Banco de la Nación Argentina a una tasa subsidiada para que las y los docentes puedan comprar computadoras</w:t>
      </w:r>
      <w:r w:rsidRPr="00F53F28">
        <w:rPr>
          <w:rFonts w:ascii="Arial" w:hAnsi="Arial" w:cs="Arial"/>
          <w:sz w:val="22"/>
          <w:szCs w:val="22"/>
        </w:rPr>
        <w:t>.</w:t>
      </w:r>
    </w:p>
    <w:p w:rsidR="00ED17ED" w:rsidRPr="00F53F28" w:rsidRDefault="00ED17ED" w:rsidP="00F53F28">
      <w:pPr>
        <w:pStyle w:val="NormalWeb"/>
        <w:shd w:val="clear" w:color="auto" w:fill="FFFFFF"/>
        <w:spacing w:before="0" w:beforeAutospacing="0"/>
        <w:jc w:val="both"/>
        <w:rPr>
          <w:rFonts w:ascii="Arial" w:hAnsi="Arial" w:cs="Arial"/>
          <w:color w:val="000000" w:themeColor="text1"/>
          <w:sz w:val="22"/>
          <w:szCs w:val="22"/>
        </w:rPr>
      </w:pPr>
      <w:r w:rsidRPr="00F53F28">
        <w:rPr>
          <w:rFonts w:ascii="Arial" w:hAnsi="Arial" w:cs="Arial"/>
          <w:sz w:val="22"/>
          <w:szCs w:val="22"/>
        </w:rPr>
        <w:t>7)  En materia educativa, ¿estaban preparados los países para afrontar la pandemia? ¿por qué?</w:t>
      </w:r>
    </w:p>
    <w:p w:rsidR="00ED17ED" w:rsidRPr="00F53F28" w:rsidRDefault="00ED17ED" w:rsidP="00F53F28">
      <w:pPr>
        <w:pStyle w:val="NormalWeb"/>
        <w:shd w:val="clear" w:color="auto" w:fill="FFFFFF"/>
        <w:spacing w:before="0" w:beforeAutospacing="0"/>
        <w:jc w:val="both"/>
        <w:rPr>
          <w:rFonts w:ascii="Arial" w:hAnsi="Arial" w:cs="Arial"/>
          <w:color w:val="000000" w:themeColor="text1"/>
          <w:sz w:val="22"/>
          <w:szCs w:val="22"/>
        </w:rPr>
      </w:pPr>
      <w:r w:rsidRPr="00F53F28">
        <w:rPr>
          <w:rFonts w:ascii="Arial" w:hAnsi="Arial" w:cs="Arial"/>
          <w:color w:val="000000" w:themeColor="text1"/>
          <w:sz w:val="22"/>
          <w:szCs w:val="22"/>
        </w:rPr>
        <w:t>8) ¿qué problemas o soluciones han aparecido en este contexto?</w:t>
      </w:r>
    </w:p>
    <w:p w:rsidR="00DB3FD0" w:rsidRPr="00F53F28" w:rsidRDefault="00DB3FD0" w:rsidP="00F53F28">
      <w:pPr>
        <w:pStyle w:val="NormalWeb"/>
        <w:shd w:val="clear" w:color="auto" w:fill="FFFFFF"/>
        <w:spacing w:before="0" w:beforeAutospacing="0"/>
        <w:jc w:val="both"/>
        <w:rPr>
          <w:rFonts w:ascii="Arial" w:hAnsi="Arial" w:cs="Arial"/>
          <w:color w:val="000000" w:themeColor="text1"/>
          <w:sz w:val="22"/>
          <w:szCs w:val="22"/>
        </w:rPr>
      </w:pPr>
      <w:r w:rsidRPr="00F53F28">
        <w:rPr>
          <w:rFonts w:ascii="Arial" w:hAnsi="Arial" w:cs="Arial"/>
          <w:sz w:val="22"/>
          <w:szCs w:val="22"/>
        </w:rPr>
        <w:t>7 y 8 – Creemos que no todos los países están preparados para afrontar esta pandemia, a</w:t>
      </w:r>
      <w:r w:rsidRPr="00F53F28">
        <w:rPr>
          <w:rFonts w:ascii="Arial" w:hAnsi="Arial" w:cs="Arial"/>
          <w:sz w:val="22"/>
          <w:szCs w:val="22"/>
        </w:rPr>
        <w:t xml:space="preserve"> ello se suma un acceso desigual a conexiones a Internet, que se traduce en una distribución desigual de los recursos y las estrategias</w:t>
      </w:r>
      <w:r w:rsidRPr="00F53F28">
        <w:rPr>
          <w:rFonts w:ascii="Arial" w:hAnsi="Arial" w:cs="Arial"/>
          <w:sz w:val="22"/>
          <w:szCs w:val="22"/>
        </w:rPr>
        <w:t xml:space="preserve">. </w:t>
      </w:r>
      <w:r w:rsidRPr="00F53F28">
        <w:rPr>
          <w:rFonts w:ascii="Arial" w:hAnsi="Arial" w:cs="Arial"/>
          <w:sz w:val="22"/>
          <w:szCs w:val="22"/>
        </w:rPr>
        <w:t>Esta situación exige, por un lado, priorizar los esfuerzos dirigidos a mantener el contacto y la continuidad educativa de aquellas poblaciones que tienen mayores dificultades de conexión y se encuentran en condiciones sociales y económicas más desfavorables para mantener procesos educativos en el hogar y, por otro lado, proyectar procesos de recuperación y continuidad educativa para el momento de reapertura de las escuelas, que consideren las diferencias y las desigualdades que se profundizarán en este período.</w:t>
      </w:r>
    </w:p>
    <w:p w:rsidR="00ED17ED" w:rsidRPr="00F53F28" w:rsidRDefault="00ED17ED" w:rsidP="00F53F28">
      <w:pPr>
        <w:pStyle w:val="NormalWeb"/>
        <w:shd w:val="clear" w:color="auto" w:fill="FFFFFF"/>
        <w:spacing w:before="0" w:beforeAutospacing="0"/>
        <w:jc w:val="both"/>
        <w:rPr>
          <w:rFonts w:ascii="Arial" w:hAnsi="Arial" w:cs="Arial"/>
          <w:color w:val="000000" w:themeColor="text1"/>
          <w:sz w:val="22"/>
          <w:szCs w:val="22"/>
        </w:rPr>
      </w:pPr>
      <w:r w:rsidRPr="00F53F28">
        <w:rPr>
          <w:rFonts w:ascii="Arial" w:hAnsi="Arial" w:cs="Arial"/>
          <w:color w:val="000000" w:themeColor="text1"/>
          <w:sz w:val="22"/>
          <w:szCs w:val="22"/>
        </w:rPr>
        <w:t>9) ¿el estudio se concentra en alguna población en particular? ¿cómo impacta la pandemia en esta/as población/es?</w:t>
      </w:r>
    </w:p>
    <w:p w:rsidR="00A005A4" w:rsidRPr="00F53F28" w:rsidRDefault="009D403E" w:rsidP="00F53F28">
      <w:pPr>
        <w:pStyle w:val="NormalWeb"/>
        <w:shd w:val="clear" w:color="auto" w:fill="FFFFFF"/>
        <w:spacing w:before="0" w:beforeAutospacing="0"/>
        <w:jc w:val="both"/>
        <w:rPr>
          <w:rFonts w:ascii="Arial" w:hAnsi="Arial" w:cs="Arial"/>
          <w:color w:val="000000" w:themeColor="text1"/>
          <w:sz w:val="22"/>
          <w:szCs w:val="22"/>
        </w:rPr>
      </w:pPr>
      <w:r w:rsidRPr="00F53F28">
        <w:rPr>
          <w:rFonts w:ascii="Arial" w:hAnsi="Arial" w:cs="Arial"/>
          <w:color w:val="000000" w:themeColor="text1"/>
          <w:sz w:val="22"/>
          <w:szCs w:val="22"/>
        </w:rPr>
        <w:lastRenderedPageBreak/>
        <w:t>El estudio se concentra en los países de Latino Americano</w:t>
      </w:r>
      <w:r w:rsidR="00F53F28">
        <w:rPr>
          <w:rFonts w:ascii="Arial" w:hAnsi="Arial" w:cs="Arial"/>
          <w:color w:val="000000" w:themeColor="text1"/>
          <w:sz w:val="22"/>
          <w:szCs w:val="22"/>
        </w:rPr>
        <w:t xml:space="preserve"> y el caribe</w:t>
      </w:r>
      <w:r w:rsidRPr="00F53F28">
        <w:rPr>
          <w:rFonts w:ascii="Arial" w:hAnsi="Arial" w:cs="Arial"/>
          <w:color w:val="000000" w:themeColor="text1"/>
          <w:sz w:val="22"/>
          <w:szCs w:val="22"/>
        </w:rPr>
        <w:t>.</w:t>
      </w:r>
    </w:p>
    <w:p w:rsidR="000F4291" w:rsidRPr="00F53F28" w:rsidRDefault="000F4291" w:rsidP="00F53F28">
      <w:pPr>
        <w:pStyle w:val="NormalWeb"/>
        <w:shd w:val="clear" w:color="auto" w:fill="FFFFFF"/>
        <w:spacing w:before="0" w:beforeAutospacing="0"/>
        <w:jc w:val="both"/>
        <w:rPr>
          <w:rFonts w:ascii="Arial" w:hAnsi="Arial" w:cs="Arial"/>
          <w:color w:val="000000" w:themeColor="text1"/>
          <w:sz w:val="22"/>
          <w:szCs w:val="22"/>
        </w:rPr>
      </w:pPr>
      <w:r w:rsidRPr="00F53F28">
        <w:rPr>
          <w:rFonts w:ascii="Arial" w:hAnsi="Arial" w:cs="Arial"/>
          <w:color w:val="000000" w:themeColor="text1"/>
          <w:sz w:val="22"/>
          <w:szCs w:val="22"/>
        </w:rPr>
        <w:t>11) ¿Qué es la CEPAL? ¿UNESCO? ¿qué son los ODS?</w:t>
      </w:r>
    </w:p>
    <w:p w:rsidR="000F4291" w:rsidRPr="00F53F28" w:rsidRDefault="000F4291" w:rsidP="00F53F28">
      <w:pPr>
        <w:pStyle w:val="NormalWeb"/>
        <w:shd w:val="clear" w:color="auto" w:fill="FFFFFF"/>
        <w:spacing w:before="0" w:beforeAutospacing="0"/>
        <w:ind w:left="142" w:hanging="142"/>
        <w:jc w:val="both"/>
        <w:rPr>
          <w:rFonts w:ascii="Arial" w:hAnsi="Arial" w:cs="Arial"/>
          <w:sz w:val="22"/>
          <w:szCs w:val="22"/>
        </w:rPr>
      </w:pPr>
      <w:r w:rsidRPr="00F53F28">
        <w:rPr>
          <w:rFonts w:ascii="Arial" w:hAnsi="Arial" w:cs="Arial"/>
          <w:sz w:val="22"/>
          <w:szCs w:val="22"/>
        </w:rPr>
        <w:t xml:space="preserve">CEPAL es </w:t>
      </w:r>
      <w:r w:rsidRPr="00F53F28">
        <w:rPr>
          <w:rFonts w:ascii="Arial" w:hAnsi="Arial" w:cs="Arial"/>
          <w:sz w:val="22"/>
          <w:szCs w:val="22"/>
        </w:rPr>
        <w:t>La Comisión Económica para América Latina y el Caribe</w:t>
      </w:r>
      <w:r w:rsidRPr="00F53F28">
        <w:rPr>
          <w:rFonts w:ascii="Arial" w:hAnsi="Arial" w:cs="Arial"/>
          <w:sz w:val="22"/>
          <w:szCs w:val="22"/>
        </w:rPr>
        <w:t>.</w:t>
      </w:r>
      <w:r w:rsidR="00F857EC" w:rsidRPr="00F53F28">
        <w:rPr>
          <w:rFonts w:ascii="Arial" w:hAnsi="Arial" w:cs="Arial"/>
          <w:sz w:val="22"/>
          <w:szCs w:val="22"/>
        </w:rPr>
        <w:t xml:space="preserve"> </w:t>
      </w:r>
      <w:r w:rsidR="00F857EC" w:rsidRPr="00F53F28">
        <w:rPr>
          <w:rFonts w:ascii="Arial" w:hAnsi="Arial" w:cs="Arial"/>
          <w:sz w:val="22"/>
          <w:szCs w:val="22"/>
        </w:rPr>
        <w:t>una de las cinco comisiones regionales de las Naciones Unidas, fue creada el 25 de febrero de 1948 para contribuir al desarrollo económico de América Latina y reforzar las relaciones económicas de los países de la región, tanto entre sí como con las demás naciones del mundo. Posteriormente, su labor se amplió a los países del Caribe y se incorporó el objetivo de promover el desarrollo social</w:t>
      </w:r>
    </w:p>
    <w:p w:rsidR="000F4291" w:rsidRPr="00F53F28" w:rsidRDefault="000F4291" w:rsidP="00F53F28">
      <w:pPr>
        <w:pStyle w:val="NormalWeb"/>
        <w:shd w:val="clear" w:color="auto" w:fill="FFFFFF"/>
        <w:spacing w:before="0" w:beforeAutospacing="0"/>
        <w:ind w:left="142" w:hanging="142"/>
        <w:jc w:val="both"/>
        <w:rPr>
          <w:rFonts w:ascii="Arial" w:hAnsi="Arial" w:cs="Arial"/>
          <w:sz w:val="22"/>
          <w:szCs w:val="22"/>
        </w:rPr>
      </w:pPr>
      <w:r w:rsidRPr="00F53F28">
        <w:rPr>
          <w:rFonts w:ascii="Arial" w:hAnsi="Arial" w:cs="Arial"/>
          <w:sz w:val="22"/>
          <w:szCs w:val="22"/>
        </w:rPr>
        <w:t xml:space="preserve">UNESCO es </w:t>
      </w:r>
      <w:r w:rsidRPr="00F53F28">
        <w:rPr>
          <w:rFonts w:ascii="Arial" w:hAnsi="Arial" w:cs="Arial"/>
          <w:sz w:val="22"/>
          <w:szCs w:val="22"/>
        </w:rPr>
        <w:t>La </w:t>
      </w:r>
      <w:hyperlink r:id="rId7" w:tgtFrame="_blank" w:history="1">
        <w:r w:rsidRPr="00F53F28">
          <w:rPr>
            <w:rStyle w:val="Hipervnculo"/>
            <w:rFonts w:ascii="Arial" w:hAnsi="Arial" w:cs="Arial"/>
            <w:color w:val="auto"/>
            <w:sz w:val="22"/>
            <w:szCs w:val="22"/>
          </w:rPr>
          <w:t>Organización de las Naciones Unidas para la Educación, la Ciencia y la Cultura (UNESCO)</w:t>
        </w:r>
      </w:hyperlink>
      <w:r w:rsidRPr="00F53F28">
        <w:rPr>
          <w:rFonts w:ascii="Arial" w:hAnsi="Arial" w:cs="Arial"/>
          <w:sz w:val="22"/>
          <w:szCs w:val="22"/>
        </w:rPr>
        <w:t> es un organismo especializado de NNUU creado el 16 de noviembre de 1945 y cuya misión es “contribuir a la consolidación de la paz, la erradicación de la pobreza, el desarrollo sostenible y el diálogo intercultural mediante la educación, las ciencias, la cultura, la comunicación y la información”</w:t>
      </w:r>
    </w:p>
    <w:p w:rsidR="000F4291" w:rsidRPr="00F53F28" w:rsidRDefault="000F4291" w:rsidP="00F53F28">
      <w:pPr>
        <w:pStyle w:val="NormalWeb"/>
        <w:shd w:val="clear" w:color="auto" w:fill="FFFFFF"/>
        <w:spacing w:before="0" w:beforeAutospacing="0"/>
        <w:ind w:left="142" w:hanging="142"/>
        <w:jc w:val="both"/>
        <w:rPr>
          <w:rFonts w:ascii="Arial" w:hAnsi="Arial" w:cs="Arial"/>
          <w:sz w:val="22"/>
          <w:szCs w:val="22"/>
        </w:rPr>
      </w:pPr>
      <w:r w:rsidRPr="00F53F28">
        <w:rPr>
          <w:rFonts w:ascii="Arial" w:hAnsi="Arial" w:cs="Arial"/>
          <w:sz w:val="22"/>
          <w:szCs w:val="22"/>
        </w:rPr>
        <w:t xml:space="preserve">ODS son </w:t>
      </w:r>
      <w:r w:rsidRPr="00F53F28">
        <w:rPr>
          <w:rFonts w:ascii="Arial" w:hAnsi="Arial" w:cs="Arial"/>
          <w:sz w:val="22"/>
          <w:szCs w:val="22"/>
          <w:shd w:val="clear" w:color="auto" w:fill="FFFFFF"/>
        </w:rPr>
        <w:t>Los Objetivos de Desarrollo Sostenible de las Naciones Unidas (ODS) son fruto del acuerdo alcanzado por los Estados Miembros de las Naciones Unidas y se componen de una Declaración, 17 Objetivos de Desarrollo Sostenible y 169 metas. </w:t>
      </w:r>
    </w:p>
    <w:p w:rsidR="009D403E" w:rsidRPr="00F53F28" w:rsidRDefault="009D403E" w:rsidP="00F53F28">
      <w:pPr>
        <w:pStyle w:val="NormalWeb"/>
        <w:shd w:val="clear" w:color="auto" w:fill="FFFFFF"/>
        <w:spacing w:before="0" w:beforeAutospacing="0"/>
        <w:jc w:val="both"/>
        <w:rPr>
          <w:rFonts w:ascii="Arial" w:hAnsi="Arial" w:cs="Arial"/>
          <w:color w:val="000000" w:themeColor="text1"/>
          <w:sz w:val="22"/>
          <w:szCs w:val="22"/>
        </w:rPr>
      </w:pPr>
      <w:r w:rsidRPr="00F53F28">
        <w:rPr>
          <w:rFonts w:ascii="Arial" w:hAnsi="Arial" w:cs="Arial"/>
          <w:color w:val="000000" w:themeColor="text1"/>
          <w:sz w:val="22"/>
          <w:szCs w:val="22"/>
        </w:rPr>
        <w:t>12) ¿Cuál es la conclusión del estudio?</w:t>
      </w:r>
    </w:p>
    <w:p w:rsidR="009D403E" w:rsidRPr="00F53F28" w:rsidRDefault="001600A7" w:rsidP="00F53F28">
      <w:pPr>
        <w:pStyle w:val="NormalWeb"/>
        <w:shd w:val="clear" w:color="auto" w:fill="FFFFFF"/>
        <w:tabs>
          <w:tab w:val="left" w:pos="5115"/>
        </w:tabs>
        <w:spacing w:before="0" w:beforeAutospacing="0"/>
        <w:jc w:val="both"/>
        <w:rPr>
          <w:rFonts w:ascii="Arial" w:hAnsi="Arial" w:cs="Arial"/>
          <w:sz w:val="22"/>
          <w:szCs w:val="22"/>
        </w:rPr>
      </w:pPr>
      <w:r w:rsidRPr="00F53F28">
        <w:rPr>
          <w:rFonts w:ascii="Arial" w:hAnsi="Arial" w:cs="Arial"/>
          <w:sz w:val="22"/>
          <w:szCs w:val="22"/>
        </w:rPr>
        <w:t xml:space="preserve">Lo que pone de manifiesto es que </w:t>
      </w:r>
      <w:r w:rsidRPr="00F53F28">
        <w:rPr>
          <w:rFonts w:ascii="Arial" w:hAnsi="Arial" w:cs="Arial"/>
          <w:sz w:val="22"/>
          <w:szCs w:val="22"/>
        </w:rPr>
        <w:t xml:space="preserve">diversos países han mostrado que existen iniciativas </w:t>
      </w:r>
      <w:r w:rsidRPr="00F53F28">
        <w:rPr>
          <w:rFonts w:ascii="Arial" w:hAnsi="Arial" w:cs="Arial"/>
          <w:sz w:val="22"/>
          <w:szCs w:val="22"/>
        </w:rPr>
        <w:t>novedosas</w:t>
      </w:r>
      <w:r w:rsidRPr="00F53F28">
        <w:rPr>
          <w:rFonts w:ascii="Arial" w:hAnsi="Arial" w:cs="Arial"/>
          <w:sz w:val="22"/>
          <w:szCs w:val="22"/>
        </w:rPr>
        <w:t xml:space="preserve"> y prácticas prometedoras, </w:t>
      </w:r>
      <w:r w:rsidR="00C14D14" w:rsidRPr="00F53F28">
        <w:rPr>
          <w:rFonts w:ascii="Arial" w:hAnsi="Arial" w:cs="Arial"/>
          <w:sz w:val="22"/>
          <w:szCs w:val="22"/>
        </w:rPr>
        <w:t>como avances</w:t>
      </w:r>
      <w:r w:rsidRPr="00F53F28">
        <w:rPr>
          <w:rFonts w:ascii="Arial" w:hAnsi="Arial" w:cs="Arial"/>
          <w:sz w:val="22"/>
          <w:szCs w:val="22"/>
        </w:rPr>
        <w:t xml:space="preserve"> </w:t>
      </w:r>
      <w:r w:rsidRPr="00F53F28">
        <w:rPr>
          <w:rFonts w:ascii="Arial" w:hAnsi="Arial" w:cs="Arial"/>
          <w:sz w:val="22"/>
          <w:szCs w:val="22"/>
        </w:rPr>
        <w:t xml:space="preserve">muy </w:t>
      </w:r>
      <w:r w:rsidR="00C14D14" w:rsidRPr="00F53F28">
        <w:rPr>
          <w:rFonts w:ascii="Arial" w:hAnsi="Arial" w:cs="Arial"/>
          <w:sz w:val="22"/>
          <w:szCs w:val="22"/>
        </w:rPr>
        <w:t>rápidos</w:t>
      </w:r>
      <w:r w:rsidRPr="00F53F28">
        <w:rPr>
          <w:rFonts w:ascii="Arial" w:hAnsi="Arial" w:cs="Arial"/>
          <w:sz w:val="22"/>
          <w:szCs w:val="22"/>
        </w:rPr>
        <w:t xml:space="preserve"> para garantizar la continuidad del aprendizaje. Además, </w:t>
      </w:r>
      <w:r w:rsidR="00C14D14" w:rsidRPr="00F53F28">
        <w:rPr>
          <w:rFonts w:ascii="Arial" w:hAnsi="Arial" w:cs="Arial"/>
          <w:sz w:val="22"/>
          <w:szCs w:val="22"/>
        </w:rPr>
        <w:t>se puede ver</w:t>
      </w:r>
      <w:r w:rsidRPr="00F53F28">
        <w:rPr>
          <w:rFonts w:ascii="Arial" w:hAnsi="Arial" w:cs="Arial"/>
          <w:sz w:val="22"/>
          <w:szCs w:val="22"/>
        </w:rPr>
        <w:t xml:space="preserve"> que los sistemas educativos se enfrentan a problemas y desafíos </w:t>
      </w:r>
      <w:r w:rsidR="00C14D14" w:rsidRPr="00F53F28">
        <w:rPr>
          <w:rFonts w:ascii="Arial" w:hAnsi="Arial" w:cs="Arial"/>
          <w:sz w:val="22"/>
          <w:szCs w:val="22"/>
        </w:rPr>
        <w:t>repensa</w:t>
      </w:r>
      <w:r w:rsidR="00C14D14" w:rsidRPr="00F53F28">
        <w:rPr>
          <w:rFonts w:ascii="Arial" w:hAnsi="Arial" w:cs="Arial"/>
          <w:sz w:val="22"/>
          <w:szCs w:val="22"/>
        </w:rPr>
        <w:t>ndo</w:t>
      </w:r>
      <w:r w:rsidR="00C14D14" w:rsidRPr="00F53F28">
        <w:rPr>
          <w:rFonts w:ascii="Arial" w:hAnsi="Arial" w:cs="Arial"/>
          <w:sz w:val="22"/>
          <w:szCs w:val="22"/>
        </w:rPr>
        <w:t xml:space="preserve"> la educación </w:t>
      </w:r>
      <w:r w:rsidR="00C14D14" w:rsidRPr="00F53F28">
        <w:rPr>
          <w:rFonts w:ascii="Arial" w:hAnsi="Arial" w:cs="Arial"/>
          <w:sz w:val="22"/>
          <w:szCs w:val="22"/>
        </w:rPr>
        <w:t xml:space="preserve">y </w:t>
      </w:r>
      <w:r w:rsidR="00C14D14" w:rsidRPr="00F53F28">
        <w:rPr>
          <w:rFonts w:ascii="Arial" w:hAnsi="Arial" w:cs="Arial"/>
          <w:sz w:val="22"/>
          <w:szCs w:val="22"/>
        </w:rPr>
        <w:t>dando prioridad entre los nuevos contenidos a la preparación de los estudiantes para comprender la realidad, convivir y actuar en tiempos de crisis e incertidumbre, tomar decisiones a nivel individual y familiar</w:t>
      </w:r>
      <w:r w:rsidR="00C14D14" w:rsidRPr="00F53F28">
        <w:rPr>
          <w:rFonts w:ascii="Arial" w:hAnsi="Arial" w:cs="Arial"/>
          <w:sz w:val="22"/>
          <w:szCs w:val="22"/>
        </w:rPr>
        <w:t>.</w:t>
      </w:r>
    </w:p>
    <w:p w:rsidR="009D403E" w:rsidRPr="00F53F28" w:rsidRDefault="009D403E" w:rsidP="00F53F28">
      <w:pPr>
        <w:pStyle w:val="NormalWeb"/>
        <w:shd w:val="clear" w:color="auto" w:fill="FFFFFF"/>
        <w:tabs>
          <w:tab w:val="left" w:pos="5115"/>
        </w:tabs>
        <w:spacing w:before="0" w:beforeAutospacing="0"/>
        <w:jc w:val="both"/>
        <w:rPr>
          <w:rFonts w:ascii="Arial" w:hAnsi="Arial" w:cs="Arial"/>
          <w:color w:val="343A40"/>
          <w:sz w:val="22"/>
          <w:szCs w:val="22"/>
        </w:rPr>
      </w:pPr>
      <w:r w:rsidRPr="00F53F28">
        <w:rPr>
          <w:rFonts w:ascii="Arial" w:hAnsi="Arial" w:cs="Arial"/>
          <w:color w:val="000000" w:themeColor="text1"/>
          <w:sz w:val="22"/>
          <w:szCs w:val="22"/>
        </w:rPr>
        <w:t>13) ¿Cuáles son sus percepciones del estudio</w:t>
      </w:r>
      <w:r w:rsidRPr="00F53F28">
        <w:rPr>
          <w:rFonts w:ascii="Arial" w:hAnsi="Arial" w:cs="Arial"/>
          <w:color w:val="343A40"/>
          <w:sz w:val="22"/>
          <w:szCs w:val="22"/>
        </w:rPr>
        <w:t>?</w:t>
      </w:r>
      <w:r w:rsidRPr="00F53F28">
        <w:rPr>
          <w:rFonts w:ascii="Arial" w:hAnsi="Arial" w:cs="Arial"/>
          <w:color w:val="343A40"/>
          <w:sz w:val="22"/>
          <w:szCs w:val="22"/>
        </w:rPr>
        <w:tab/>
      </w:r>
    </w:p>
    <w:p w:rsidR="001600A7" w:rsidRPr="00F53F28" w:rsidRDefault="00112641" w:rsidP="00F53F28">
      <w:pPr>
        <w:shd w:val="clear" w:color="auto" w:fill="FFFFFF"/>
        <w:spacing w:after="100" w:afterAutospacing="1" w:line="240" w:lineRule="auto"/>
        <w:jc w:val="both"/>
        <w:rPr>
          <w:rFonts w:ascii="Arial" w:eastAsia="Times New Roman" w:hAnsi="Arial" w:cs="Arial"/>
          <w:color w:val="343A40"/>
          <w:lang w:eastAsia="es-AR"/>
        </w:rPr>
      </w:pPr>
      <w:r w:rsidRPr="00F53F28">
        <w:rPr>
          <w:rFonts w:ascii="Arial" w:hAnsi="Arial" w:cs="Arial"/>
        </w:rPr>
        <w:t>Dado que la pandemia puso de evidencia la desigualdad</w:t>
      </w:r>
      <w:r w:rsidR="001600A7" w:rsidRPr="00F53F28">
        <w:rPr>
          <w:rFonts w:ascii="Arial" w:hAnsi="Arial" w:cs="Arial"/>
        </w:rPr>
        <w:t xml:space="preserve"> social</w:t>
      </w:r>
      <w:r w:rsidRPr="00F53F28">
        <w:rPr>
          <w:rFonts w:ascii="Arial" w:hAnsi="Arial" w:cs="Arial"/>
        </w:rPr>
        <w:t xml:space="preserve"> en distintitos </w:t>
      </w:r>
      <w:r w:rsidR="001600A7" w:rsidRPr="00F53F28">
        <w:rPr>
          <w:rFonts w:ascii="Arial" w:hAnsi="Arial" w:cs="Arial"/>
        </w:rPr>
        <w:t>contextos se</w:t>
      </w:r>
      <w:r w:rsidRPr="00F53F28">
        <w:rPr>
          <w:rFonts w:ascii="Arial" w:hAnsi="Arial" w:cs="Arial"/>
        </w:rPr>
        <w:t xml:space="preserve"> tendrá que diseñar nuevas políticas de inclusión que </w:t>
      </w:r>
      <w:r w:rsidR="001600A7" w:rsidRPr="00F53F28">
        <w:rPr>
          <w:rFonts w:ascii="Arial" w:hAnsi="Arial" w:cs="Arial"/>
        </w:rPr>
        <w:t>garanticen derechos</w:t>
      </w:r>
      <w:r w:rsidRPr="00F53F28">
        <w:rPr>
          <w:rFonts w:ascii="Arial" w:hAnsi="Arial" w:cs="Arial"/>
        </w:rPr>
        <w:t xml:space="preserve"> a la educación</w:t>
      </w:r>
      <w:r w:rsidR="001600A7" w:rsidRPr="00F53F28">
        <w:rPr>
          <w:rFonts w:ascii="Arial" w:hAnsi="Arial" w:cs="Arial"/>
        </w:rPr>
        <w:t>,</w:t>
      </w:r>
      <w:r w:rsidRPr="00F53F28">
        <w:rPr>
          <w:rFonts w:ascii="Arial" w:hAnsi="Arial" w:cs="Arial"/>
        </w:rPr>
        <w:t xml:space="preserve"> </w:t>
      </w:r>
      <w:r w:rsidR="001600A7" w:rsidRPr="00F53F28">
        <w:rPr>
          <w:rFonts w:ascii="Arial" w:hAnsi="Arial" w:cs="Arial"/>
        </w:rPr>
        <w:t xml:space="preserve">al acceso a oportunidades de aprendizajes, </w:t>
      </w:r>
      <w:r w:rsidR="001600A7" w:rsidRPr="00F53F28">
        <w:rPr>
          <w:rFonts w:ascii="Arial" w:hAnsi="Arial" w:cs="Arial"/>
        </w:rPr>
        <w:t>como a la provisión de una educación de calidad</w:t>
      </w:r>
      <w:r w:rsidR="001600A7" w:rsidRPr="00F53F28">
        <w:rPr>
          <w:rFonts w:ascii="Arial" w:hAnsi="Arial" w:cs="Arial"/>
        </w:rPr>
        <w:t>.</w:t>
      </w:r>
    </w:p>
    <w:p w:rsidR="00112641" w:rsidRDefault="00112641" w:rsidP="00C210F8">
      <w:pPr>
        <w:shd w:val="clear" w:color="auto" w:fill="FFFFFF"/>
        <w:spacing w:after="100" w:afterAutospacing="1" w:line="240" w:lineRule="auto"/>
      </w:pPr>
    </w:p>
    <w:p w:rsidR="00DD1924" w:rsidRPr="00C210F8" w:rsidRDefault="00C210F8">
      <w:pPr>
        <w:rPr>
          <w:color w:val="000000" w:themeColor="text1"/>
        </w:rPr>
      </w:pPr>
      <w:r w:rsidRPr="00C210F8">
        <w:rPr>
          <w:rFonts w:ascii="Arial" w:hAnsi="Arial" w:cs="Arial"/>
          <w:color w:val="000000" w:themeColor="text1"/>
        </w:rPr>
        <w:t>.</w:t>
      </w:r>
    </w:p>
    <w:sectPr w:rsidR="00DD1924" w:rsidRPr="00C210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E9A"/>
    <w:multiLevelType w:val="hybridMultilevel"/>
    <w:tmpl w:val="A828B27A"/>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454072F"/>
    <w:multiLevelType w:val="hybridMultilevel"/>
    <w:tmpl w:val="A1DC126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F8"/>
    <w:rsid w:val="000F4045"/>
    <w:rsid w:val="000F4291"/>
    <w:rsid w:val="00112641"/>
    <w:rsid w:val="001600A7"/>
    <w:rsid w:val="004300DC"/>
    <w:rsid w:val="009D403E"/>
    <w:rsid w:val="009E4D9C"/>
    <w:rsid w:val="00A005A4"/>
    <w:rsid w:val="00C14D14"/>
    <w:rsid w:val="00C210F8"/>
    <w:rsid w:val="00DB3FD0"/>
    <w:rsid w:val="00DD1924"/>
    <w:rsid w:val="00ED17ED"/>
    <w:rsid w:val="00F53F28"/>
    <w:rsid w:val="00F670B7"/>
    <w:rsid w:val="00F857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C864"/>
  <w15:chartTrackingRefBased/>
  <w15:docId w15:val="{E3AD73B4-869D-40B8-8ABA-BA88AA0B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210F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C210F8"/>
    <w:rPr>
      <w:b/>
      <w:bCs/>
    </w:rPr>
  </w:style>
  <w:style w:type="character" w:styleId="Hipervnculo">
    <w:name w:val="Hyperlink"/>
    <w:basedOn w:val="Fuentedeprrafopredeter"/>
    <w:uiPriority w:val="99"/>
    <w:semiHidden/>
    <w:unhideWhenUsed/>
    <w:rsid w:val="000F4291"/>
    <w:rPr>
      <w:color w:val="0000FF"/>
      <w:u w:val="single"/>
    </w:rPr>
  </w:style>
  <w:style w:type="paragraph" w:styleId="Prrafodelista">
    <w:name w:val="List Paragraph"/>
    <w:basedOn w:val="Normal"/>
    <w:uiPriority w:val="34"/>
    <w:qFormat/>
    <w:rsid w:val="00ED1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479054">
      <w:bodyDiv w:val="1"/>
      <w:marLeft w:val="0"/>
      <w:marRight w:val="0"/>
      <w:marTop w:val="0"/>
      <w:marBottom w:val="0"/>
      <w:divBdr>
        <w:top w:val="none" w:sz="0" w:space="0" w:color="auto"/>
        <w:left w:val="none" w:sz="0" w:space="0" w:color="auto"/>
        <w:bottom w:val="none" w:sz="0" w:space="0" w:color="auto"/>
        <w:right w:val="none" w:sz="0" w:space="0" w:color="auto"/>
      </w:divBdr>
    </w:div>
    <w:div w:id="462238753">
      <w:bodyDiv w:val="1"/>
      <w:marLeft w:val="0"/>
      <w:marRight w:val="0"/>
      <w:marTop w:val="0"/>
      <w:marBottom w:val="0"/>
      <w:divBdr>
        <w:top w:val="none" w:sz="0" w:space="0" w:color="auto"/>
        <w:left w:val="none" w:sz="0" w:space="0" w:color="auto"/>
        <w:bottom w:val="none" w:sz="0" w:space="0" w:color="auto"/>
        <w:right w:val="none" w:sz="0" w:space="0" w:color="auto"/>
      </w:divBdr>
      <w:divsChild>
        <w:div w:id="378865291">
          <w:marLeft w:val="0"/>
          <w:marRight w:val="0"/>
          <w:marTop w:val="0"/>
          <w:marBottom w:val="0"/>
          <w:divBdr>
            <w:top w:val="none" w:sz="0" w:space="0" w:color="auto"/>
            <w:left w:val="none" w:sz="0" w:space="0" w:color="auto"/>
            <w:bottom w:val="none" w:sz="0" w:space="0" w:color="auto"/>
            <w:right w:val="none" w:sz="0" w:space="0" w:color="auto"/>
          </w:divBdr>
        </w:div>
      </w:divsChild>
    </w:div>
    <w:div w:id="172012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unesc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1716</Words>
  <Characters>9441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Loto</dc:creator>
  <cp:keywords/>
  <dc:description/>
  <cp:lastModifiedBy>karina Loto</cp:lastModifiedBy>
  <cp:revision>3</cp:revision>
  <dcterms:created xsi:type="dcterms:W3CDTF">2020-09-02T06:08:00Z</dcterms:created>
  <dcterms:modified xsi:type="dcterms:W3CDTF">2020-09-04T21:19:00Z</dcterms:modified>
</cp:coreProperties>
</file>