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B74" w:rsidRPr="00BC35AE" w:rsidRDefault="00BC35AE" w:rsidP="00BC35AE">
      <w:pPr>
        <w:shd w:val="clear" w:color="auto" w:fill="FFFFFF"/>
        <w:spacing w:after="100" w:afterAutospacing="1" w:line="240" w:lineRule="auto"/>
        <w:outlineLvl w:val="1"/>
        <w:rPr>
          <w:noProof/>
        </w:rPr>
      </w:pPr>
      <w:r>
        <w:rPr>
          <w:noProof/>
          <w:lang w:eastAsia="es-AR"/>
        </w:rPr>
        <w:drawing>
          <wp:inline distT="0" distB="0" distL="0" distR="0">
            <wp:extent cx="2025650" cy="819150"/>
            <wp:effectExtent l="0" t="0" r="0" b="0"/>
            <wp:docPr id="464" name="Imagen 464" descr="Facultad Regional La Rioja"/>
            <wp:cNvGraphicFramePr/>
            <a:graphic xmlns:a="http://schemas.openxmlformats.org/drawingml/2006/main">
              <a:graphicData uri="http://schemas.openxmlformats.org/drawingml/2006/picture">
                <pic:pic xmlns:pic="http://schemas.openxmlformats.org/drawingml/2006/picture">
                  <pic:nvPicPr>
                    <pic:cNvPr id="464" name="Imagen 464" descr="Facultad Regional La Rioja"/>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25650" cy="819150"/>
                    </a:xfrm>
                    <a:prstGeom prst="rect">
                      <a:avLst/>
                    </a:prstGeom>
                    <a:noFill/>
                    <a:ln>
                      <a:noFill/>
                    </a:ln>
                  </pic:spPr>
                </pic:pic>
              </a:graphicData>
            </a:graphic>
          </wp:inline>
        </w:drawing>
      </w:r>
      <w:r>
        <w:rPr>
          <w:rFonts w:ascii="Arial" w:eastAsia="Times New Roman" w:hAnsi="Arial" w:cs="Arial"/>
          <w:b/>
          <w:bCs/>
          <w:lang w:eastAsia="es-AR"/>
        </w:rPr>
        <w:t xml:space="preserve">  </w:t>
      </w:r>
      <w:r>
        <w:rPr>
          <w:noProof/>
        </w:rPr>
        <w:t xml:space="preserve">                                                           </w:t>
      </w:r>
      <w:r>
        <w:rPr>
          <w:noProof/>
          <w:lang w:eastAsia="es-AR"/>
        </w:rPr>
        <w:drawing>
          <wp:inline distT="0" distB="0" distL="0" distR="0">
            <wp:extent cx="1216025" cy="645795"/>
            <wp:effectExtent l="0" t="0" r="3175" b="1905"/>
            <wp:docPr id="463" name="Imagen 463"/>
            <wp:cNvGraphicFramePr/>
            <a:graphic xmlns:a="http://schemas.openxmlformats.org/drawingml/2006/main">
              <a:graphicData uri="http://schemas.openxmlformats.org/drawingml/2006/picture">
                <pic:pic xmlns:pic="http://schemas.openxmlformats.org/drawingml/2006/picture">
                  <pic:nvPicPr>
                    <pic:cNvPr id="463" name="Imagen 463"/>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6025" cy="645795"/>
                    </a:xfrm>
                    <a:prstGeom prst="rect">
                      <a:avLst/>
                    </a:prstGeom>
                    <a:noFill/>
                    <a:ln w="9525">
                      <a:noFill/>
                      <a:miter lim="800000"/>
                      <a:headEnd/>
                      <a:tailEnd/>
                    </a:ln>
                  </pic:spPr>
                </pic:pic>
              </a:graphicData>
            </a:graphic>
          </wp:inline>
        </w:drawing>
      </w:r>
    </w:p>
    <w:p w:rsidR="00BC35AE" w:rsidRDefault="00BC35AE" w:rsidP="00BC35AE">
      <w:pPr>
        <w:pBdr>
          <w:top w:val="single" w:sz="4" w:space="1" w:color="auto"/>
        </w:pBdr>
        <w:tabs>
          <w:tab w:val="left" w:pos="6708"/>
        </w:tabs>
        <w:spacing w:after="0"/>
        <w:jc w:val="both"/>
        <w:rPr>
          <w:rFonts w:ascii="Arial" w:hAnsi="Arial" w:cs="Arial"/>
          <w:b/>
          <w:bCs/>
        </w:rPr>
      </w:pPr>
    </w:p>
    <w:p w:rsidR="00BC35AE" w:rsidRPr="00F53F28" w:rsidRDefault="00BC35AE" w:rsidP="00BC35AE">
      <w:pPr>
        <w:pBdr>
          <w:top w:val="single" w:sz="4" w:space="1" w:color="auto"/>
        </w:pBdr>
        <w:tabs>
          <w:tab w:val="left" w:pos="6708"/>
        </w:tabs>
        <w:spacing w:after="0"/>
        <w:jc w:val="both"/>
        <w:rPr>
          <w:rFonts w:ascii="Arial" w:hAnsi="Arial" w:cs="Arial"/>
          <w:b/>
          <w:bCs/>
        </w:rPr>
      </w:pPr>
      <w:r w:rsidRPr="00F53F28">
        <w:rPr>
          <w:rFonts w:ascii="Arial" w:hAnsi="Arial" w:cs="Arial"/>
          <w:b/>
          <w:bCs/>
        </w:rPr>
        <w:t>Licenciatura en Administración y Gestión en Instituciones de Educación Superior</w:t>
      </w:r>
    </w:p>
    <w:p w:rsidR="00BC35AE" w:rsidRPr="00F53F28" w:rsidRDefault="00BC35AE" w:rsidP="00BC35AE">
      <w:pPr>
        <w:pBdr>
          <w:top w:val="single" w:sz="4" w:space="1" w:color="auto"/>
        </w:pBdr>
        <w:tabs>
          <w:tab w:val="left" w:pos="6708"/>
        </w:tabs>
        <w:spacing w:after="0"/>
        <w:jc w:val="both"/>
        <w:rPr>
          <w:rFonts w:ascii="Arial" w:hAnsi="Arial" w:cs="Arial"/>
          <w:b/>
          <w:bCs/>
        </w:rPr>
      </w:pPr>
      <w:r w:rsidRPr="00F53F28">
        <w:rPr>
          <w:rFonts w:ascii="Arial" w:hAnsi="Arial" w:cs="Arial"/>
          <w:b/>
          <w:bCs/>
        </w:rPr>
        <w:t>Regional: UTN Facultad Regional La Rioja</w:t>
      </w:r>
    </w:p>
    <w:p w:rsidR="00BC35AE" w:rsidRPr="00F53F28" w:rsidRDefault="00BC35AE" w:rsidP="00BC35AE">
      <w:pPr>
        <w:pBdr>
          <w:top w:val="single" w:sz="4" w:space="1" w:color="auto"/>
        </w:pBdr>
        <w:tabs>
          <w:tab w:val="left" w:pos="6708"/>
        </w:tabs>
        <w:spacing w:after="0"/>
        <w:jc w:val="both"/>
        <w:rPr>
          <w:rFonts w:ascii="Arial" w:hAnsi="Arial" w:cs="Arial"/>
          <w:bCs/>
        </w:rPr>
      </w:pPr>
      <w:r w:rsidRPr="00F53F28">
        <w:rPr>
          <w:rFonts w:ascii="Arial" w:hAnsi="Arial" w:cs="Arial"/>
          <w:b/>
          <w:bCs/>
        </w:rPr>
        <w:t xml:space="preserve">Asignatura: </w:t>
      </w:r>
      <w:r>
        <w:rPr>
          <w:rFonts w:ascii="Arial" w:hAnsi="Arial" w:cs="Arial"/>
          <w:b/>
          <w:bCs/>
        </w:rPr>
        <w:t>Metodología de la Investigación</w:t>
      </w:r>
    </w:p>
    <w:p w:rsidR="00BC35AE" w:rsidRDefault="00BC35AE" w:rsidP="00BC35AE">
      <w:pPr>
        <w:pBdr>
          <w:top w:val="single" w:sz="4" w:space="1" w:color="auto"/>
        </w:pBdr>
        <w:tabs>
          <w:tab w:val="left" w:pos="6708"/>
        </w:tabs>
        <w:spacing w:after="0"/>
        <w:jc w:val="both"/>
        <w:rPr>
          <w:rFonts w:ascii="Arial" w:hAnsi="Arial" w:cs="Arial"/>
          <w:b/>
          <w:bCs/>
        </w:rPr>
      </w:pPr>
      <w:r w:rsidRPr="00F53F28">
        <w:rPr>
          <w:rFonts w:ascii="Arial" w:hAnsi="Arial" w:cs="Arial"/>
          <w:b/>
          <w:bCs/>
        </w:rPr>
        <w:t xml:space="preserve">Docente: </w:t>
      </w:r>
      <w:r w:rsidR="00632AD6">
        <w:rPr>
          <w:rFonts w:ascii="Arial" w:hAnsi="Arial" w:cs="Arial"/>
          <w:b/>
          <w:bCs/>
        </w:rPr>
        <w:t>Víctor Oliva</w:t>
      </w:r>
    </w:p>
    <w:p w:rsidR="00BC35AE" w:rsidRPr="00F53F28" w:rsidRDefault="00BC35AE" w:rsidP="00BC35AE">
      <w:pPr>
        <w:pBdr>
          <w:top w:val="single" w:sz="4" w:space="1" w:color="auto"/>
        </w:pBdr>
        <w:tabs>
          <w:tab w:val="left" w:pos="6708"/>
        </w:tabs>
        <w:spacing w:after="0"/>
        <w:jc w:val="both"/>
        <w:rPr>
          <w:rFonts w:ascii="Arial" w:hAnsi="Arial" w:cs="Arial"/>
          <w:bCs/>
          <w:lang w:val="pt-BR"/>
        </w:rPr>
      </w:pPr>
      <w:proofErr w:type="spellStart"/>
      <w:r w:rsidRPr="00F53F28">
        <w:rPr>
          <w:rFonts w:ascii="Arial" w:hAnsi="Arial" w:cs="Arial"/>
          <w:b/>
          <w:bCs/>
          <w:lang w:val="pt-BR"/>
        </w:rPr>
        <w:t>Alumnos</w:t>
      </w:r>
      <w:proofErr w:type="spellEnd"/>
      <w:r>
        <w:rPr>
          <w:rFonts w:ascii="Arial" w:hAnsi="Arial" w:cs="Arial"/>
          <w:bCs/>
          <w:lang w:val="pt-BR"/>
        </w:rPr>
        <w:t xml:space="preserve">: </w:t>
      </w:r>
      <w:proofErr w:type="spellStart"/>
      <w:r>
        <w:rPr>
          <w:rFonts w:ascii="Arial" w:hAnsi="Arial" w:cs="Arial"/>
          <w:bCs/>
          <w:lang w:val="pt-BR"/>
        </w:rPr>
        <w:t>Mó</w:t>
      </w:r>
      <w:r w:rsidRPr="00F53F28">
        <w:rPr>
          <w:rFonts w:ascii="Arial" w:hAnsi="Arial" w:cs="Arial"/>
          <w:bCs/>
          <w:lang w:val="pt-BR"/>
        </w:rPr>
        <w:t>nica</w:t>
      </w:r>
      <w:proofErr w:type="spellEnd"/>
      <w:r w:rsidRPr="00F53F28">
        <w:rPr>
          <w:rFonts w:ascii="Arial" w:hAnsi="Arial" w:cs="Arial"/>
          <w:bCs/>
          <w:lang w:val="pt-BR"/>
        </w:rPr>
        <w:t xml:space="preserve"> Alvarez, Pedro Castro, Loto Karina; Ricardo </w:t>
      </w:r>
      <w:proofErr w:type="spellStart"/>
      <w:r w:rsidRPr="00F53F28">
        <w:rPr>
          <w:rFonts w:ascii="Arial" w:hAnsi="Arial" w:cs="Arial"/>
          <w:bCs/>
          <w:lang w:val="pt-BR"/>
        </w:rPr>
        <w:t>Monla</w:t>
      </w:r>
      <w:proofErr w:type="spellEnd"/>
      <w:r w:rsidRPr="00F53F28">
        <w:rPr>
          <w:rFonts w:ascii="Arial" w:hAnsi="Arial" w:cs="Arial"/>
          <w:bCs/>
          <w:lang w:val="pt-BR"/>
        </w:rPr>
        <w:t xml:space="preserve">, Hugo </w:t>
      </w:r>
      <w:proofErr w:type="spellStart"/>
      <w:proofErr w:type="gramStart"/>
      <w:r w:rsidRPr="00F53F28">
        <w:rPr>
          <w:rFonts w:ascii="Arial" w:hAnsi="Arial" w:cs="Arial"/>
          <w:bCs/>
          <w:lang w:val="pt-BR"/>
        </w:rPr>
        <w:t>Ruartez</w:t>
      </w:r>
      <w:proofErr w:type="spellEnd"/>
      <w:proofErr w:type="gramEnd"/>
    </w:p>
    <w:p w:rsidR="00BC35AE" w:rsidRDefault="00BC35AE" w:rsidP="00BC35AE">
      <w:pPr>
        <w:rPr>
          <w:b/>
          <w:sz w:val="36"/>
          <w:szCs w:val="36"/>
          <w:u w:val="single"/>
          <w:lang w:val="pt-BR"/>
        </w:rPr>
      </w:pPr>
    </w:p>
    <w:p w:rsidR="00BC35AE" w:rsidRDefault="006714F6" w:rsidP="00BC35AE">
      <w:pPr>
        <w:rPr>
          <w:rFonts w:ascii="Arial" w:hAnsi="Arial" w:cs="Arial"/>
          <w:b/>
          <w:szCs w:val="24"/>
        </w:rPr>
      </w:pPr>
      <w:r>
        <w:rPr>
          <w:rFonts w:ascii="Arial" w:hAnsi="Arial" w:cs="Arial"/>
          <w:b/>
          <w:szCs w:val="24"/>
        </w:rPr>
        <w:t>Trabajo Práctico N°2</w:t>
      </w:r>
    </w:p>
    <w:p w:rsidR="006714F6" w:rsidRPr="00B02290" w:rsidRDefault="00B02290" w:rsidP="00BC35AE">
      <w:pPr>
        <w:rPr>
          <w:rFonts w:ascii="Arial" w:hAnsi="Arial" w:cs="Arial"/>
          <w:b/>
          <w:szCs w:val="24"/>
          <w:u w:val="single"/>
        </w:rPr>
      </w:pPr>
      <w:r w:rsidRPr="00B02290">
        <w:rPr>
          <w:rFonts w:ascii="Arial" w:hAnsi="Arial" w:cs="Arial"/>
          <w:b/>
          <w:szCs w:val="24"/>
          <w:u w:val="single"/>
        </w:rPr>
        <w:t>DETERMINANTES DE LOS CAMBIOS EN LA PARTICIPACIÓN LABORAL</w:t>
      </w:r>
    </w:p>
    <w:p w:rsidR="00B02290" w:rsidRDefault="00B02290">
      <w:pPr>
        <w:rPr>
          <w:rFonts w:ascii="Arial" w:hAnsi="Arial" w:cs="Arial"/>
          <w:b/>
        </w:rPr>
      </w:pPr>
    </w:p>
    <w:p w:rsidR="001C200C" w:rsidRPr="00405B74" w:rsidRDefault="001C200C">
      <w:pPr>
        <w:rPr>
          <w:rFonts w:ascii="Arial" w:hAnsi="Arial" w:cs="Arial"/>
          <w:b/>
        </w:rPr>
      </w:pPr>
      <w:r w:rsidRPr="00405B74">
        <w:rPr>
          <w:rFonts w:ascii="Arial" w:hAnsi="Arial" w:cs="Arial"/>
          <w:b/>
        </w:rPr>
        <w:t>PROBLEMA</w:t>
      </w:r>
    </w:p>
    <w:p w:rsidR="006C5A47" w:rsidRDefault="006C5A47" w:rsidP="00AF06A5">
      <w:pPr>
        <w:jc w:val="both"/>
      </w:pPr>
      <w:r>
        <w:t>El amesetamiento de la tasa de actividad femenina durante los 2000</w:t>
      </w:r>
      <w:r w:rsidR="00985119">
        <w:t>,</w:t>
      </w:r>
      <w:r>
        <w:t xml:space="preserve"> llama la atención en varios sentidos. En primer lugar, porque continuaron los cambios culturales y de las preferencias de las mujeres, así como la mayor conciencia sobre sus derechos, los cuales suelen contribuir al aumento de la oferta laboral femenina (Espino, 2012). Asimismo, se siguieron verificando los cambios en la composición de la población femenina en edad de trabajar que usualmente llevan a incrementos en la oferta: aumento de los niveles educativos, caída en la tasa de fecundidad, aumento de la probabilidad de mantenerse solteras, entre otros (Gasparini y Marchionni, 2015; Beccaria, Maurizio y Vázquez, 2017). Además, las desigualdades de género se imbrican con las desigualdades de </w:t>
      </w:r>
      <w:r w:rsidR="00267258">
        <w:t>clase: en general, las diﬁ</w:t>
      </w:r>
      <w:r>
        <w:t xml:space="preserve">cultades para participar en el mercado laboral y la segmentación ocupacional son fenómenos que afectan en mayor medida a las mujeres de menores recursos (Barrancos y Goren, 2002; Valenzuela, 2003). </w:t>
      </w:r>
    </w:p>
    <w:p w:rsidR="00405B74" w:rsidRPr="00A80BAB" w:rsidRDefault="00405B74">
      <w:pPr>
        <w:rPr>
          <w:b/>
        </w:rPr>
      </w:pPr>
      <w:r w:rsidRPr="00A80BAB">
        <w:rPr>
          <w:b/>
        </w:rPr>
        <w:t>OBJETIVO</w:t>
      </w:r>
    </w:p>
    <w:p w:rsidR="005468A6" w:rsidRPr="00A80BAB" w:rsidRDefault="005A3BA4">
      <w:r w:rsidRPr="00A80BAB">
        <w:rPr>
          <w:rFonts w:cs="Arial"/>
        </w:rPr>
        <w:t>Contribuir a la comprensión de los mecanismos explicativos de los cambios en la participación laboral de las mujeres de sectores populares en Argentina, prestando particular atención a cómo se vincula la Asignación Universal por Hijo (AUH)</w:t>
      </w:r>
    </w:p>
    <w:p w:rsidR="005468A6" w:rsidRDefault="00A80BAB">
      <w:pPr>
        <w:rPr>
          <w:b/>
        </w:rPr>
      </w:pPr>
      <w:r w:rsidRPr="00A80BAB">
        <w:rPr>
          <w:b/>
        </w:rPr>
        <w:t>JUSTIFICACIÓN DEL ESTUDIO</w:t>
      </w:r>
    </w:p>
    <w:p w:rsidR="00A80BAB" w:rsidRPr="009E3F43" w:rsidRDefault="00AF06A5" w:rsidP="00AF06A5">
      <w:pPr>
        <w:jc w:val="both"/>
      </w:pPr>
      <w:r>
        <w:t>R</w:t>
      </w:r>
      <w:r w:rsidR="009E3F43" w:rsidRPr="00AF06A5">
        <w:t>esulta interesante tener en c</w:t>
      </w:r>
      <w:r>
        <w:t xml:space="preserve">uenta que la AUH podría tener </w:t>
      </w:r>
      <w:r w:rsidR="009E3F43" w:rsidRPr="00AF06A5">
        <w:t>distintos efectos sobre la participación laboral de los miembros de lo</w:t>
      </w:r>
      <w:r>
        <w:t xml:space="preserve">s hogares </w:t>
      </w:r>
      <w:r w:rsidR="009E3F43" w:rsidRPr="009E3F43">
        <w:t>receptores, que se podrían estar compensando entre sí. Incluso dentro del subgrupo de las mujeres titulares de la AUH  podrían coexistir diversos canales de inﬂuencia de la política pública en la participación labora</w:t>
      </w:r>
      <w:r w:rsidR="009E3F43">
        <w:t xml:space="preserve">l, dependiendo de su edad, su </w:t>
      </w:r>
      <w:r w:rsidR="009E3F43" w:rsidRPr="009E3F43">
        <w:t>posición en el hogar, su rol de proveedora única o secundaria, entre otros factores. En consecuencia, teniendo en cuenta todas las contribuciones de la literatura reseñadas, se desprende la importancia de realizar un</w:t>
      </w:r>
      <w:r w:rsidR="009E3F43">
        <w:t xml:space="preserve"> análisis de la participación </w:t>
      </w:r>
      <w:r w:rsidR="009E3F43" w:rsidRPr="009E3F43">
        <w:t>laboral femenina desde una perspectiva multifactorial</w:t>
      </w:r>
      <w:r w:rsidR="009E3F43">
        <w:t xml:space="preserve"> y diferenciando entre grupos </w:t>
      </w:r>
      <w:r w:rsidR="009E3F43" w:rsidRPr="009E3F43">
        <w:t xml:space="preserve">de mujeres. </w:t>
      </w:r>
      <w:r w:rsidR="009E3F43" w:rsidRPr="009E3F43">
        <w:lastRenderedPageBreak/>
        <w:t>En esta dirección es que este artículo</w:t>
      </w:r>
      <w:r w:rsidR="009E3F43">
        <w:t xml:space="preserve"> se propone indagar sobre los </w:t>
      </w:r>
      <w:r w:rsidR="009E3F43" w:rsidRPr="009E3F43">
        <w:t>determinantes de los cambios en la participación labor</w:t>
      </w:r>
      <w:r w:rsidR="009E3F43">
        <w:t xml:space="preserve">al de las mujeres de sectores </w:t>
      </w:r>
      <w:r w:rsidR="009E3F43" w:rsidRPr="009E3F43">
        <w:t>populares, conformand</w:t>
      </w:r>
      <w:r w:rsidR="009E3F43">
        <w:t>o un abordaje que logre identiﬁcar la multiplicidad de fac</w:t>
      </w:r>
      <w:r w:rsidR="009E3F43" w:rsidRPr="009E3F43">
        <w:t>tores que intervienen, así como indagar en las posibl</w:t>
      </w:r>
      <w:r w:rsidR="009E3F43">
        <w:t xml:space="preserve">es interacciones entre la AUH </w:t>
      </w:r>
      <w:r w:rsidR="009E3F43" w:rsidRPr="009E3F43">
        <w:t xml:space="preserve">y otros determinantes relevantes. </w:t>
      </w:r>
      <w:r w:rsidR="009E3F43" w:rsidRPr="009E3F43">
        <w:cr/>
      </w:r>
    </w:p>
    <w:p w:rsidR="00A80BAB" w:rsidRDefault="00A80BAB">
      <w:pPr>
        <w:rPr>
          <w:b/>
        </w:rPr>
      </w:pPr>
      <w:r>
        <w:rPr>
          <w:b/>
        </w:rPr>
        <w:t>VIABILIDAD.</w:t>
      </w:r>
    </w:p>
    <w:p w:rsidR="00392DBD" w:rsidRPr="00392DBD" w:rsidRDefault="00392DBD" w:rsidP="004047A4">
      <w:pPr>
        <w:jc w:val="both"/>
      </w:pPr>
      <w:r>
        <w:t>P</w:t>
      </w:r>
      <w:r w:rsidRPr="00392DBD">
        <w:t>ersisten importantes desigualdades de género en el</w:t>
      </w:r>
      <w:r>
        <w:t xml:space="preserve"> mercado de trabajo. Los avan</w:t>
      </w:r>
      <w:r w:rsidRPr="00392DBD">
        <w:t>ces de las mujeres en este campo han sido i</w:t>
      </w:r>
      <w:r>
        <w:t>nsuﬁ</w:t>
      </w:r>
      <w:r w:rsidRPr="00392DBD">
        <w:t>cientes</w:t>
      </w:r>
      <w:r>
        <w:t xml:space="preserve"> para cerrar la brecha con los </w:t>
      </w:r>
      <w:r w:rsidRPr="00392DBD">
        <w:t>varones en la mayoría de las variables laborales, como los salarios, el empleo y la participación, y la estructura ocupacional sigue prese</w:t>
      </w:r>
      <w:r>
        <w:t xml:space="preserve">ntando una fuerte segregación </w:t>
      </w:r>
      <w:r w:rsidRPr="00392DBD">
        <w:t>vertical y horizontal por género (Contartese y Maceira,</w:t>
      </w:r>
      <w:r>
        <w:t xml:space="preserve"> 2005; Castillo et al., 2008; </w:t>
      </w:r>
      <w:r w:rsidRPr="00392DBD">
        <w:t>Novick, Rojo y Castillo, 2008; G</w:t>
      </w:r>
      <w:r>
        <w:t xml:space="preserve">asparini y Marchionni, 2015). </w:t>
      </w:r>
      <w:r w:rsidRPr="00392DBD">
        <w:t xml:space="preserve">Además, las desigualdades de género se imbrican con las desigualdades de </w:t>
      </w:r>
      <w:r>
        <w:t>clase: en general, las diﬁ</w:t>
      </w:r>
      <w:r w:rsidRPr="00392DBD">
        <w:t>cultades para participar en</w:t>
      </w:r>
      <w:r>
        <w:t xml:space="preserve"> el mercado laboral y la segmentación ocupacional son </w:t>
      </w:r>
      <w:r w:rsidRPr="00392DBD">
        <w:t xml:space="preserve">fenómenos que afectan </w:t>
      </w:r>
      <w:r>
        <w:t xml:space="preserve">en mayor medida a las mujeres </w:t>
      </w:r>
      <w:r w:rsidRPr="00392DBD">
        <w:t>de menores recursos (Barrancos y Goren, 2002; Valenzuela, 2003). Por lo tanto, el estudio de las particularidades de la inserción laboral de las mujeres de sectores populares  cobra especial relevancia. En este sentido, es notable que las mujeres con bajo nivel educativo disminuyeran su participac</w:t>
      </w:r>
      <w:r>
        <w:t xml:space="preserve">ión laboral desde el año 2003 </w:t>
      </w:r>
      <w:r w:rsidRPr="00392DBD">
        <w:t xml:space="preserve">(Beccaria, Maurizio y Vázquez, 2017). </w:t>
      </w:r>
      <w:r w:rsidRPr="00392DBD">
        <w:cr/>
      </w:r>
    </w:p>
    <w:p w:rsidR="00A80BAB" w:rsidRPr="0018376F" w:rsidRDefault="00A80BAB" w:rsidP="0018376F">
      <w:r w:rsidRPr="00392DBD">
        <w:rPr>
          <w:b/>
        </w:rPr>
        <w:t xml:space="preserve">VARIABLES DE ESTUDIO </w:t>
      </w:r>
      <w:r w:rsidR="00044693" w:rsidRPr="00392DBD">
        <w:rPr>
          <w:b/>
        </w:rPr>
        <w:t>MÁS</w:t>
      </w:r>
      <w:r w:rsidRPr="00392DBD">
        <w:rPr>
          <w:b/>
        </w:rPr>
        <w:t xml:space="preserve"> RELEVANTES</w:t>
      </w:r>
    </w:p>
    <w:p w:rsidR="00944390" w:rsidRPr="00044693" w:rsidRDefault="006C5A47" w:rsidP="009B438F">
      <w:pPr>
        <w:jc w:val="both"/>
      </w:pPr>
      <w:r w:rsidRPr="00392DBD">
        <w:t xml:space="preserve"> </w:t>
      </w:r>
      <w:r w:rsidR="00944390" w:rsidRPr="00392DBD">
        <w:rPr>
          <w:rFonts w:cs="Arial"/>
        </w:rPr>
        <w:t>Con respecto al universo seleccionado para el a</w:t>
      </w:r>
      <w:r w:rsidR="00044693" w:rsidRPr="00392DBD">
        <w:rPr>
          <w:rFonts w:cs="Arial"/>
        </w:rPr>
        <w:t xml:space="preserve">nálisis, está constituido por </w:t>
      </w:r>
      <w:r w:rsidR="00944390" w:rsidRPr="00392DBD">
        <w:rPr>
          <w:rFonts w:cs="Arial"/>
        </w:rPr>
        <w:t>mujeres en edad activa (entre 15 a 60 años), de máximo nivel educativo Hasta Secundaria Incompleta (HSI</w:t>
      </w:r>
      <w:r w:rsidR="00392DBD" w:rsidRPr="00392DBD">
        <w:rPr>
          <w:rFonts w:cs="Arial"/>
        </w:rPr>
        <w:t xml:space="preserve">). </w:t>
      </w:r>
      <w:r w:rsidR="00944390" w:rsidRPr="00392DBD">
        <w:rPr>
          <w:rFonts w:cs="Arial"/>
        </w:rPr>
        <w:t xml:space="preserve">La </w:t>
      </w:r>
      <w:r w:rsidR="00944390" w:rsidRPr="00044693">
        <w:rPr>
          <w:rFonts w:cs="Arial"/>
        </w:rPr>
        <w:t>elección de una variable educativa para estra</w:t>
      </w:r>
      <w:r w:rsidR="00044693" w:rsidRPr="00044693">
        <w:rPr>
          <w:rFonts w:cs="Arial"/>
        </w:rPr>
        <w:t>tiﬁ</w:t>
      </w:r>
      <w:r w:rsidR="00944390" w:rsidRPr="00044693">
        <w:rPr>
          <w:rFonts w:cs="Arial"/>
        </w:rPr>
        <w:t>car a las mujeres obedece a la decisión de evita</w:t>
      </w:r>
      <w:r w:rsidR="00044693" w:rsidRPr="00044693">
        <w:rPr>
          <w:rFonts w:cs="Arial"/>
        </w:rPr>
        <w:t xml:space="preserve">r variables asociadas con los </w:t>
      </w:r>
      <w:r w:rsidR="00944390" w:rsidRPr="00044693">
        <w:rPr>
          <w:rFonts w:cs="Arial"/>
        </w:rPr>
        <w:t>ingresos (como por ejemplo los quintiles de Ingreso</w:t>
      </w:r>
      <w:r w:rsidR="00044693" w:rsidRPr="00044693">
        <w:rPr>
          <w:rFonts w:cs="Arial"/>
        </w:rPr>
        <w:t xml:space="preserve"> Per Cápita Familiar [IPCF]), </w:t>
      </w:r>
      <w:r w:rsidR="00944390" w:rsidRPr="00044693">
        <w:rPr>
          <w:rFonts w:cs="Arial"/>
        </w:rPr>
        <w:t>puesto que estas presentarían una correlación direct</w:t>
      </w:r>
      <w:r w:rsidR="00044693" w:rsidRPr="00044693">
        <w:rPr>
          <w:rFonts w:cs="Arial"/>
        </w:rPr>
        <w:t xml:space="preserve">a con otras variables que son </w:t>
      </w:r>
      <w:r w:rsidR="00944390" w:rsidRPr="00044693">
        <w:rPr>
          <w:rFonts w:cs="Arial"/>
        </w:rPr>
        <w:t>objeto de análisis en este ejercicio. Además, los nive</w:t>
      </w:r>
      <w:r w:rsidR="00044693" w:rsidRPr="00044693">
        <w:rPr>
          <w:rFonts w:cs="Arial"/>
        </w:rPr>
        <w:t xml:space="preserve">les educativos constituyen un </w:t>
      </w:r>
      <w:r w:rsidR="00944390" w:rsidRPr="00044693">
        <w:rPr>
          <w:rFonts w:cs="Arial"/>
        </w:rPr>
        <w:t xml:space="preserve">proxy  razonable de los estratos socioeconómicos: más del 70% de las mujeres de HSI se ubican en los primeros dos quintiles de IPCF  . </w:t>
      </w:r>
      <w:r w:rsidR="00044693" w:rsidRPr="00044693">
        <w:rPr>
          <w:rFonts w:cs="Arial"/>
        </w:rPr>
        <w:t>Este tipo de clasiﬁ</w:t>
      </w:r>
      <w:r w:rsidR="00944390" w:rsidRPr="00044693">
        <w:rPr>
          <w:rFonts w:cs="Arial"/>
        </w:rPr>
        <w:t>cación basada en el nivel educativo permitió una estratiﬁcación de las mujeres que coincide con las característi</w:t>
      </w:r>
      <w:r w:rsidR="00044693" w:rsidRPr="00044693">
        <w:rPr>
          <w:rFonts w:cs="Arial"/>
        </w:rPr>
        <w:t xml:space="preserve">cas que presentan las mujeres </w:t>
      </w:r>
      <w:r w:rsidR="00944390" w:rsidRPr="00044693">
        <w:rPr>
          <w:rFonts w:cs="Arial"/>
        </w:rPr>
        <w:t xml:space="preserve">titulares de la AUH, pero sin superposición de los </w:t>
      </w:r>
      <w:r w:rsidR="00044693" w:rsidRPr="00044693">
        <w:rPr>
          <w:rFonts w:cs="Arial"/>
        </w:rPr>
        <w:t xml:space="preserve">grupos: el 11% de las mujeres </w:t>
      </w:r>
      <w:r w:rsidR="00944390" w:rsidRPr="00044693">
        <w:rPr>
          <w:rFonts w:cs="Arial"/>
        </w:rPr>
        <w:t>con nivel educativo HSI, en edad activa y que co</w:t>
      </w:r>
      <w:r w:rsidR="00044693" w:rsidRPr="00044693">
        <w:rPr>
          <w:rFonts w:cs="Arial"/>
        </w:rPr>
        <w:t>nviven con menores de 18 años en el hogar, se identiﬁ</w:t>
      </w:r>
      <w:r w:rsidR="00944390" w:rsidRPr="00044693">
        <w:rPr>
          <w:rFonts w:cs="Arial"/>
        </w:rPr>
        <w:t>caron como titulares AUH, y el</w:t>
      </w:r>
      <w:r w:rsidR="009B438F">
        <w:rPr>
          <w:rFonts w:cs="Arial"/>
        </w:rPr>
        <w:t xml:space="preserve"> 67% de las mujeres titulares </w:t>
      </w:r>
      <w:r w:rsidR="00944390" w:rsidRPr="00044693">
        <w:rPr>
          <w:rFonts w:cs="Arial"/>
        </w:rPr>
        <w:t>AUH en edad activa tienen como máximo nivel edu</w:t>
      </w:r>
      <w:r w:rsidR="00044693">
        <w:rPr>
          <w:rFonts w:cs="Arial"/>
        </w:rPr>
        <w:t xml:space="preserve">cativo alcanzado HSI10. La no </w:t>
      </w:r>
      <w:r w:rsidR="00944390" w:rsidRPr="00044693">
        <w:rPr>
          <w:rFonts w:cs="Arial"/>
        </w:rPr>
        <w:t>superposición de los grupos es una consideración p</w:t>
      </w:r>
      <w:r w:rsidR="00044693" w:rsidRPr="00044693">
        <w:rPr>
          <w:rFonts w:cs="Arial"/>
        </w:rPr>
        <w:t>articula</w:t>
      </w:r>
      <w:r w:rsidR="00044693">
        <w:rPr>
          <w:rFonts w:cs="Arial"/>
        </w:rPr>
        <w:t xml:space="preserve">rmente relevante para </w:t>
      </w:r>
      <w:r w:rsidR="00944390" w:rsidRPr="00044693">
        <w:rPr>
          <w:rFonts w:cs="Arial"/>
        </w:rPr>
        <w:t>los objetivos del ejercicio econométrico planteado, ya que de</w:t>
      </w:r>
      <w:r w:rsidR="00044693">
        <w:rPr>
          <w:rFonts w:cs="Arial"/>
        </w:rPr>
        <w:t xml:space="preserve">ntro del universo de </w:t>
      </w:r>
      <w:r w:rsidR="00944390" w:rsidRPr="00044693">
        <w:rPr>
          <w:rFonts w:cs="Arial"/>
        </w:rPr>
        <w:t>análisis de mujeres de nivel educativo bajo se busca dis</w:t>
      </w:r>
      <w:r w:rsidR="00044693">
        <w:rPr>
          <w:rFonts w:cs="Arial"/>
        </w:rPr>
        <w:t xml:space="preserve">tinguir los resultados de las </w:t>
      </w:r>
      <w:r w:rsidR="00944390" w:rsidRPr="00044693">
        <w:rPr>
          <w:rFonts w:cs="Arial"/>
        </w:rPr>
        <w:t>estimaciones entre el subgrupo de mujeres que re</w:t>
      </w:r>
      <w:r w:rsidR="00044693">
        <w:rPr>
          <w:rFonts w:cs="Arial"/>
        </w:rPr>
        <w:t xml:space="preserve">ciben AUH y mujeres que no la </w:t>
      </w:r>
      <w:r w:rsidR="00944390" w:rsidRPr="00044693">
        <w:rPr>
          <w:rFonts w:cs="Arial"/>
        </w:rPr>
        <w:t>reciben. En efecto, de conformar el universo de análisis estratiﬁ</w:t>
      </w:r>
      <w:r w:rsidR="00044693" w:rsidRPr="00044693">
        <w:rPr>
          <w:rFonts w:cs="Arial"/>
        </w:rPr>
        <w:t xml:space="preserve">cando a las mujeres </w:t>
      </w:r>
      <w:r w:rsidR="00944390" w:rsidRPr="00044693">
        <w:rPr>
          <w:rFonts w:cs="Arial"/>
        </w:rPr>
        <w:t>según el quintil de IPCF de pertenencia, los grupos</w:t>
      </w:r>
      <w:r w:rsidR="00044693">
        <w:rPr>
          <w:rFonts w:cs="Arial"/>
        </w:rPr>
        <w:t xml:space="preserve"> se superpondrían, ya que más </w:t>
      </w:r>
      <w:r w:rsidR="00944390" w:rsidRPr="00044693">
        <w:rPr>
          <w:rFonts w:cs="Arial"/>
        </w:rPr>
        <w:t>del 80% de los hogares AUH se ubican en los primeros dos quintiles de IPCF11.  La estrategia seguida para el análisis de los factores explicativos de los cambios en la participación laboral de las mujeres vu</w:t>
      </w:r>
      <w:r w:rsidR="00044693" w:rsidRPr="00044693">
        <w:rPr>
          <w:rFonts w:cs="Arial"/>
        </w:rPr>
        <w:t xml:space="preserve">lnerables se desarrolla sobre </w:t>
      </w:r>
      <w:r w:rsidR="00944390" w:rsidRPr="00044693">
        <w:rPr>
          <w:rFonts w:cs="Arial"/>
        </w:rPr>
        <w:t>la base de la modelización de las probabilidades de sal</w:t>
      </w:r>
      <w:r w:rsidR="00044693" w:rsidRPr="00044693">
        <w:rPr>
          <w:rFonts w:cs="Arial"/>
        </w:rPr>
        <w:t xml:space="preserve">ir y entrar del/al mercado de </w:t>
      </w:r>
      <w:r w:rsidR="00944390" w:rsidRPr="00044693">
        <w:rPr>
          <w:rFonts w:cs="Arial"/>
        </w:rPr>
        <w:t xml:space="preserve">trabajo para este grupo de estudio, entendiendo las salidas del </w:t>
      </w:r>
      <w:r w:rsidR="00944390" w:rsidRPr="00044693">
        <w:rPr>
          <w:rFonts w:cs="Arial"/>
        </w:rPr>
        <w:lastRenderedPageBreak/>
        <w:t>me</w:t>
      </w:r>
      <w:r w:rsidR="00044693" w:rsidRPr="00044693">
        <w:rPr>
          <w:rFonts w:cs="Arial"/>
        </w:rPr>
        <w:t xml:space="preserve">rcado de trabajo </w:t>
      </w:r>
      <w:r w:rsidR="00944390" w:rsidRPr="00044693">
        <w:rPr>
          <w:rFonts w:cs="Arial"/>
        </w:rPr>
        <w:t>como las transiciones desde la actividad hacia la ina</w:t>
      </w:r>
      <w:r w:rsidR="00044693" w:rsidRPr="00044693">
        <w:rPr>
          <w:rFonts w:cs="Arial"/>
        </w:rPr>
        <w:t xml:space="preserve">ctividad, y las entradas como </w:t>
      </w:r>
      <w:r w:rsidR="00944390" w:rsidRPr="00044693">
        <w:rPr>
          <w:rFonts w:cs="Arial"/>
        </w:rPr>
        <w:t>las transiciones desde la inactividad hacia la activida</w:t>
      </w:r>
      <w:r w:rsidR="00044693" w:rsidRPr="00044693">
        <w:rPr>
          <w:rFonts w:cs="Arial"/>
        </w:rPr>
        <w:t xml:space="preserve">d.  A tal efecto se estimaron </w:t>
      </w:r>
      <w:r w:rsidR="00944390" w:rsidRPr="00044693">
        <w:rPr>
          <w:rFonts w:cs="Arial"/>
        </w:rPr>
        <w:t xml:space="preserve">dos modelos logísticos según la dirección de la transición que represente: </w:t>
      </w:r>
      <w:r w:rsidR="00944390" w:rsidRPr="00044693">
        <w:rPr>
          <w:rFonts w:cs="Arial"/>
        </w:rPr>
        <w:cr/>
      </w:r>
    </w:p>
    <w:p w:rsidR="00944390" w:rsidRPr="00944390" w:rsidRDefault="00944390" w:rsidP="00944390">
      <w:pPr>
        <w:spacing w:line="240" w:lineRule="auto"/>
        <w:mirrorIndents/>
        <w:rPr>
          <w:rFonts w:ascii="Arial" w:hAnsi="Arial" w:cs="Arial"/>
        </w:rPr>
      </w:pPr>
      <w:r w:rsidRPr="00944390">
        <w:rPr>
          <w:rFonts w:ascii="Arial" w:hAnsi="Arial" w:cs="Arial"/>
        </w:rPr>
        <w:cr/>
      </w:r>
    </w:p>
    <w:p w:rsidR="00944390" w:rsidRPr="00944390" w:rsidRDefault="00944390" w:rsidP="00944390">
      <w:pPr>
        <w:spacing w:line="240" w:lineRule="auto"/>
        <w:mirrorIndents/>
        <w:rPr>
          <w:rFonts w:ascii="Arial" w:hAnsi="Arial" w:cs="Arial"/>
        </w:rPr>
      </w:pPr>
      <w:r w:rsidRPr="00944390">
        <w:rPr>
          <w:rFonts w:ascii="Arial" w:hAnsi="Arial" w:cs="Arial"/>
        </w:rPr>
        <w:t xml:space="preserve">                                                                                                   </w:t>
      </w:r>
    </w:p>
    <w:p w:rsidR="00944390" w:rsidRPr="00944390" w:rsidRDefault="00944390" w:rsidP="00044693">
      <w:pPr>
        <w:spacing w:line="240" w:lineRule="auto"/>
        <w:mirrorIndents/>
        <w:rPr>
          <w:rFonts w:ascii="Arial" w:hAnsi="Arial" w:cs="Arial"/>
        </w:rPr>
      </w:pPr>
      <w:r w:rsidRPr="00944390">
        <w:rPr>
          <w:rFonts w:ascii="Arial" w:hAnsi="Arial" w:cs="Arial"/>
        </w:rPr>
        <w:cr/>
      </w:r>
    </w:p>
    <w:sectPr w:rsidR="00944390" w:rsidRPr="00944390" w:rsidSect="00ED67D3">
      <w:pgSz w:w="11907" w:h="16840" w:code="9"/>
      <w:pgMar w:top="851" w:right="851" w:bottom="85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A5C07"/>
    <w:rsid w:val="00044693"/>
    <w:rsid w:val="0018376F"/>
    <w:rsid w:val="001B7BA5"/>
    <w:rsid w:val="001C200C"/>
    <w:rsid w:val="00267258"/>
    <w:rsid w:val="002A5C07"/>
    <w:rsid w:val="00357E65"/>
    <w:rsid w:val="00392DBD"/>
    <w:rsid w:val="003E746D"/>
    <w:rsid w:val="004047A4"/>
    <w:rsid w:val="00405B74"/>
    <w:rsid w:val="00434E5C"/>
    <w:rsid w:val="004620A7"/>
    <w:rsid w:val="005468A6"/>
    <w:rsid w:val="005A3BA4"/>
    <w:rsid w:val="00632AD6"/>
    <w:rsid w:val="006714F6"/>
    <w:rsid w:val="006C5A47"/>
    <w:rsid w:val="00706B07"/>
    <w:rsid w:val="007314EC"/>
    <w:rsid w:val="007B1680"/>
    <w:rsid w:val="0081754B"/>
    <w:rsid w:val="0089289B"/>
    <w:rsid w:val="00944390"/>
    <w:rsid w:val="00985119"/>
    <w:rsid w:val="009B438F"/>
    <w:rsid w:val="009E3F43"/>
    <w:rsid w:val="00A80BAB"/>
    <w:rsid w:val="00A85424"/>
    <w:rsid w:val="00AF06A5"/>
    <w:rsid w:val="00B02290"/>
    <w:rsid w:val="00B33C0D"/>
    <w:rsid w:val="00BC35AE"/>
    <w:rsid w:val="00D47011"/>
    <w:rsid w:val="00DD1CB8"/>
    <w:rsid w:val="00E77003"/>
    <w:rsid w:val="00ED67D3"/>
    <w:rsid w:val="00F52B6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35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16</cp:revision>
  <dcterms:created xsi:type="dcterms:W3CDTF">2020-09-18T05:48:00Z</dcterms:created>
  <dcterms:modified xsi:type="dcterms:W3CDTF">2020-09-19T19:36:00Z</dcterms:modified>
</cp:coreProperties>
</file>