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524500" cy="37052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705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* É possível fazer um elemento âncora enviar para uma outra sessão ou elemento na mesma página, como foi mostrado no exemplo acima.</w:t>
      </w:r>
    </w:p>
    <w:p w:rsidR="00000000" w:rsidDel="00000000" w:rsidP="00000000" w:rsidRDefault="00000000" w:rsidRPr="00000000" w14:paraId="00000003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RESUMÃO </w:t>
      </w:r>
    </w:p>
    <w:p w:rsidR="00000000" w:rsidDel="00000000" w:rsidP="00000000" w:rsidRDefault="00000000" w:rsidRPr="00000000" w14:paraId="00000005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</w:t>
      </w:r>
      <w:r w:rsidDel="00000000" w:rsidR="00000000" w:rsidRPr="00000000">
        <w:rPr>
          <w:sz w:val="24"/>
          <w:szCs w:val="24"/>
          <w:rtl w:val="0"/>
        </w:rPr>
        <w:t xml:space="preserve">Não pode pular a hierarquia dos headers (h1, h2, h3 etc), pois quebra a ordem lógica de leitura pros leitores de tela (cegos), ou seja, diminui acessibilidade;</w:t>
      </w:r>
    </w:p>
    <w:p w:rsidR="00000000" w:rsidDel="00000000" w:rsidP="00000000" w:rsidRDefault="00000000" w:rsidRPr="00000000" w14:paraId="00000006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Presentational HTML elements: </w:t>
      </w:r>
      <w:r w:rsidDel="00000000" w:rsidR="00000000" w:rsidRPr="00000000">
        <w:rPr>
          <w:sz w:val="24"/>
          <w:szCs w:val="24"/>
          <w:rtl w:val="0"/>
        </w:rPr>
        <w:t xml:space="preserve">Elementos que definem a aparência do conteúdo sem css.</w:t>
      </w:r>
    </w:p>
    <w:p w:rsidR="00000000" w:rsidDel="00000000" w:rsidP="00000000" w:rsidRDefault="00000000" w:rsidRPr="00000000" w14:paraId="00000007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HTML semântico: </w:t>
      </w:r>
      <w:r w:rsidDel="00000000" w:rsidR="00000000" w:rsidRPr="00000000">
        <w:rPr>
          <w:sz w:val="24"/>
          <w:szCs w:val="24"/>
          <w:rtl w:val="0"/>
        </w:rPr>
        <w:t xml:space="preserve">Elementos que possuem significado semântico, como nav, header, head, footer etc;</w:t>
      </w:r>
    </w:p>
    <w:p w:rsidR="00000000" w:rsidDel="00000000" w:rsidP="00000000" w:rsidRDefault="00000000" w:rsidRPr="00000000" w14:paraId="00000008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em Element: </w:t>
      </w:r>
      <w:r w:rsidDel="00000000" w:rsidR="00000000" w:rsidRPr="00000000">
        <w:rPr>
          <w:sz w:val="24"/>
          <w:szCs w:val="24"/>
          <w:rtl w:val="0"/>
        </w:rPr>
        <w:t xml:space="preserve">dá ênfase ao conteúdo (deixa em itálico)</w:t>
      </w:r>
    </w:p>
    <w:p w:rsidR="00000000" w:rsidDel="00000000" w:rsidP="00000000" w:rsidRDefault="00000000" w:rsidRPr="00000000" w14:paraId="00000009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 Element: </w:t>
      </w:r>
      <w:r w:rsidDel="00000000" w:rsidR="00000000" w:rsidRPr="00000000">
        <w:rPr>
          <w:sz w:val="24"/>
          <w:szCs w:val="24"/>
          <w:rtl w:val="0"/>
        </w:rPr>
        <w:t xml:space="preserve">Também transforma o texto em itálico, mas é utilizado com propósitos linguísticos, como a apresentação de um termo em linguagem estrangeira. Este elemento possui um atributo chamado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lang, </w:t>
      </w:r>
      <w:r w:rsidDel="00000000" w:rsidR="00000000" w:rsidRPr="00000000">
        <w:rPr>
          <w:sz w:val="24"/>
          <w:szCs w:val="24"/>
          <w:rtl w:val="0"/>
        </w:rPr>
        <w:t xml:space="preserve">com valores como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french, portuguese, russian, etc. </w:t>
      </w:r>
      <w:r w:rsidDel="00000000" w:rsidR="00000000" w:rsidRPr="00000000">
        <w:rPr>
          <w:sz w:val="24"/>
          <w:szCs w:val="24"/>
          <w:rtl w:val="0"/>
        </w:rPr>
        <w:t xml:space="preserve">Utilizado para mostrar ao navegador qual é a linguagem do texto a seguir;</w:t>
      </w:r>
    </w:p>
    <w:p w:rsidR="00000000" w:rsidDel="00000000" w:rsidP="00000000" w:rsidRDefault="00000000" w:rsidRPr="00000000" w14:paraId="0000000A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strong Element: </w:t>
      </w:r>
      <w:r w:rsidDel="00000000" w:rsidR="00000000" w:rsidRPr="00000000">
        <w:rPr>
          <w:sz w:val="24"/>
          <w:szCs w:val="24"/>
          <w:rtl w:val="0"/>
        </w:rPr>
        <w:t xml:space="preserve">Utilizado para mostrar que uma porção do texto é importante;</w:t>
      </w:r>
    </w:p>
    <w:p w:rsidR="00000000" w:rsidDel="00000000" w:rsidP="00000000" w:rsidRDefault="00000000" w:rsidRPr="00000000" w14:paraId="0000000B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 (bring atention to) Element: </w:t>
      </w:r>
      <w:r w:rsidDel="00000000" w:rsidR="00000000" w:rsidRPr="00000000">
        <w:rPr>
          <w:sz w:val="24"/>
          <w:szCs w:val="24"/>
          <w:rtl w:val="0"/>
        </w:rPr>
        <w:t xml:space="preserve">Utilizado para trazer a atenção do leitor àquela porção do conteúdo;</w:t>
      </w:r>
    </w:p>
    <w:p w:rsidR="00000000" w:rsidDel="00000000" w:rsidP="00000000" w:rsidRDefault="00000000" w:rsidRPr="00000000" w14:paraId="0000000C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* Caso nenhum dos casos acima encaixe no que está querendo fazer, mas ainda sim deseja transformar o texto em negrito ou itálico, utilize CSS.</w:t>
      </w:r>
    </w:p>
    <w:p w:rsidR="00000000" w:rsidDel="00000000" w:rsidP="00000000" w:rsidRDefault="00000000" w:rsidRPr="00000000" w14:paraId="0000000D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Description List (dl): </w:t>
      </w:r>
      <w:r w:rsidDel="00000000" w:rsidR="00000000" w:rsidRPr="00000000">
        <w:rPr>
          <w:sz w:val="24"/>
          <w:szCs w:val="24"/>
          <w:rtl w:val="0"/>
        </w:rPr>
        <w:t xml:space="preserve">Utilizado para representar uma lista de termos e seus significados utilizando, nessa ordem, 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dt </w:t>
      </w:r>
      <w:r w:rsidDel="00000000" w:rsidR="00000000" w:rsidRPr="00000000">
        <w:rPr>
          <w:sz w:val="24"/>
          <w:szCs w:val="24"/>
          <w:rtl w:val="0"/>
        </w:rPr>
        <w:t xml:space="preserve">(description terms)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e 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dd </w:t>
      </w:r>
      <w:r w:rsidDel="00000000" w:rsidR="00000000" w:rsidRPr="00000000">
        <w:rPr>
          <w:sz w:val="24"/>
          <w:szCs w:val="24"/>
          <w:rtl w:val="0"/>
        </w:rPr>
        <w:t xml:space="preserve">(description details). O primeiro exibe o termo, o segundo exibe seu significado e, por fim, tudo isso é envelopado pelo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dl</w:t>
      </w:r>
      <w:r w:rsidDel="00000000" w:rsidR="00000000" w:rsidRPr="00000000">
        <w:rPr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0E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blockquote Element: </w:t>
      </w:r>
      <w:r w:rsidDel="00000000" w:rsidR="00000000" w:rsidRPr="00000000">
        <w:rPr>
          <w:sz w:val="24"/>
          <w:szCs w:val="24"/>
          <w:rtl w:val="0"/>
        </w:rPr>
        <w:t xml:space="preserve">Utilizado para representar uma seção que é citada de uma outra fonte que pode ser divulgada através do atributo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cite</w:t>
      </w:r>
      <w:r w:rsidDel="00000000" w:rsidR="00000000" w:rsidRPr="00000000">
        <w:rPr>
          <w:sz w:val="24"/>
          <w:szCs w:val="24"/>
          <w:rtl w:val="0"/>
        </w:rPr>
        <w:t xml:space="preserve">, com seu valor sendo o endereço da fonte;</w:t>
      </w:r>
    </w:p>
    <w:p w:rsidR="00000000" w:rsidDel="00000000" w:rsidP="00000000" w:rsidRDefault="00000000" w:rsidRPr="00000000" w14:paraId="0000000F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cite Element: </w:t>
      </w:r>
      <w:r w:rsidDel="00000000" w:rsidR="00000000" w:rsidRPr="00000000">
        <w:rPr>
          <w:sz w:val="24"/>
          <w:szCs w:val="24"/>
          <w:rtl w:val="0"/>
        </w:rPr>
        <w:t xml:space="preserve">Diferente do anterior, este mostra o endereço da fonte da citação ao leitor (transforma o texto dentro dele em itálico);</w:t>
      </w:r>
    </w:p>
    <w:p w:rsidR="00000000" w:rsidDel="00000000" w:rsidP="00000000" w:rsidRDefault="00000000" w:rsidRPr="00000000" w14:paraId="00000010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 (inline quotation) Element: </w:t>
      </w:r>
      <w:r w:rsidDel="00000000" w:rsidR="00000000" w:rsidRPr="00000000">
        <w:rPr>
          <w:sz w:val="24"/>
          <w:szCs w:val="24"/>
          <w:rtl w:val="0"/>
        </w:rPr>
        <w:t xml:space="preserve">Utilizado para representar citações curtas dentro de um parágrafo. Possui o mesmo atributo cite com a mesma lógica de valores;</w:t>
      </w:r>
    </w:p>
    <w:p w:rsidR="00000000" w:rsidDel="00000000" w:rsidP="00000000" w:rsidRDefault="00000000" w:rsidRPr="00000000" w14:paraId="00000011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abbr Element: </w:t>
      </w:r>
      <w:r w:rsidDel="00000000" w:rsidR="00000000" w:rsidRPr="00000000">
        <w:rPr>
          <w:sz w:val="24"/>
          <w:szCs w:val="24"/>
          <w:rtl w:val="0"/>
        </w:rPr>
        <w:t xml:space="preserve">Utilizado para representar uma abreviação, tornando possível o usuário passar o mouse por cima do mesmo e ter seu significado mostrado em uma caixinha de texto acima da abreviação. O texto aparecido é um valor do atributo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title </w:t>
      </w:r>
      <w:r w:rsidDel="00000000" w:rsidR="00000000" w:rsidRPr="00000000">
        <w:rPr>
          <w:sz w:val="24"/>
          <w:szCs w:val="24"/>
          <w:rtl w:val="0"/>
        </w:rPr>
        <w:t xml:space="preserve">deste elemento. </w:t>
      </w:r>
    </w:p>
    <w:p w:rsidR="00000000" w:rsidDel="00000000" w:rsidP="00000000" w:rsidRDefault="00000000" w:rsidRPr="00000000" w14:paraId="00000012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address Element: </w:t>
      </w:r>
      <w:r w:rsidDel="00000000" w:rsidR="00000000" w:rsidRPr="00000000">
        <w:rPr>
          <w:sz w:val="24"/>
          <w:szCs w:val="24"/>
          <w:rtl w:val="0"/>
        </w:rPr>
        <w:t xml:space="preserve">Utilizado para divulgar contatos da empresa, dev, etc;</w:t>
      </w:r>
    </w:p>
    <w:p w:rsidR="00000000" w:rsidDel="00000000" w:rsidP="00000000" w:rsidRDefault="00000000" w:rsidRPr="00000000" w14:paraId="00000013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time Element: </w:t>
      </w:r>
      <w:r w:rsidDel="00000000" w:rsidR="00000000" w:rsidRPr="00000000">
        <w:rPr>
          <w:sz w:val="24"/>
          <w:szCs w:val="24"/>
          <w:rtl w:val="0"/>
        </w:rPr>
        <w:t xml:space="preserve">Sempre junto com seu atributo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datetime</w:t>
      </w:r>
      <w:r w:rsidDel="00000000" w:rsidR="00000000" w:rsidRPr="00000000">
        <w:rPr>
          <w:sz w:val="24"/>
          <w:szCs w:val="24"/>
          <w:rtl w:val="0"/>
        </w:rPr>
        <w:t xml:space="preserve">, eles representam ao navegador que o texto seguinte será uma data ou horário (pesquisar formatos, são muitos, mas caso queira apresentar uma data com ano, mês, dia e horário completo, a data deve ser separada do horário com um T maiúsculo);</w:t>
      </w:r>
    </w:p>
    <w:p w:rsidR="00000000" w:rsidDel="00000000" w:rsidP="00000000" w:rsidRDefault="00000000" w:rsidRPr="00000000" w14:paraId="00000014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 Element: </w:t>
      </w:r>
      <w:r w:rsidDel="00000000" w:rsidR="00000000" w:rsidRPr="00000000">
        <w:rPr>
          <w:sz w:val="24"/>
          <w:szCs w:val="24"/>
          <w:rtl w:val="0"/>
        </w:rPr>
        <w:t xml:space="preserve">Deixa o texto um pouco mais pra cima, como se fosse uma potência matemática;</w:t>
      </w:r>
    </w:p>
    <w:p w:rsidR="00000000" w:rsidDel="00000000" w:rsidP="00000000" w:rsidRDefault="00000000" w:rsidRPr="00000000" w14:paraId="00000015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sub Element: </w:t>
      </w:r>
      <w:r w:rsidDel="00000000" w:rsidR="00000000" w:rsidRPr="00000000">
        <w:rPr>
          <w:sz w:val="24"/>
          <w:szCs w:val="24"/>
          <w:rtl w:val="0"/>
        </w:rPr>
        <w:t xml:space="preserve">O mesmo de cima, mas para baixo. </w:t>
      </w:r>
    </w:p>
    <w:p w:rsidR="00000000" w:rsidDel="00000000" w:rsidP="00000000" w:rsidRDefault="00000000" w:rsidRPr="00000000" w14:paraId="00000016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code Element: </w:t>
      </w:r>
      <w:r w:rsidDel="00000000" w:rsidR="00000000" w:rsidRPr="00000000">
        <w:rPr>
          <w:sz w:val="24"/>
          <w:szCs w:val="24"/>
          <w:rtl w:val="0"/>
        </w:rPr>
        <w:t xml:space="preserve">Representa uma porção pequena de código </w:t>
      </w:r>
      <w:r w:rsidDel="00000000" w:rsidR="00000000" w:rsidRPr="00000000">
        <w:rPr>
          <w:sz w:val="24"/>
          <w:szCs w:val="24"/>
          <w:rtl w:val="0"/>
        </w:rPr>
        <w:t xml:space="preserve">ao computador</w:t>
      </w:r>
      <w:r w:rsidDel="00000000" w:rsidR="00000000" w:rsidRPr="00000000">
        <w:rPr>
          <w:sz w:val="24"/>
          <w:szCs w:val="24"/>
          <w:rtl w:val="0"/>
        </w:rPr>
        <w:t xml:space="preserve">. Caso queira códigos maiores, será necessário envelopar o mesmo em um atributo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</w:t>
      </w:r>
      <w:r w:rsidDel="00000000" w:rsidR="00000000" w:rsidRPr="00000000">
        <w:rPr>
          <w:sz w:val="24"/>
          <w:szCs w:val="24"/>
          <w:rtl w:val="0"/>
        </w:rPr>
        <w:t xml:space="preserve">. Isso significa que tudo que será escrito dentro do elemento aparecerá exatamente como escrito, facilitando indentações e coisas de código;</w:t>
      </w:r>
    </w:p>
    <w:p w:rsidR="00000000" w:rsidDel="00000000" w:rsidP="00000000" w:rsidRDefault="00000000" w:rsidRPr="00000000" w14:paraId="00000017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 Element: </w:t>
      </w:r>
      <w:r w:rsidDel="00000000" w:rsidR="00000000" w:rsidRPr="00000000">
        <w:rPr>
          <w:sz w:val="24"/>
          <w:szCs w:val="24"/>
          <w:rtl w:val="0"/>
        </w:rPr>
        <w:t xml:space="preserve">representa texto escrito incorretamente;</w:t>
      </w:r>
    </w:p>
    <w:p w:rsidR="00000000" w:rsidDel="00000000" w:rsidP="00000000" w:rsidRDefault="00000000" w:rsidRPr="00000000" w14:paraId="00000018">
      <w:pPr>
        <w:spacing w:line="360" w:lineRule="auto"/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ruby Element: </w:t>
      </w:r>
    </w:p>
    <w:p w:rsidR="00000000" w:rsidDel="00000000" w:rsidP="00000000" w:rsidRDefault="00000000" w:rsidRPr="00000000" w14:paraId="00000019">
      <w:pPr>
        <w:shd w:fill="0a0a23" w:val="clear"/>
        <w:spacing w:line="325.71428571428567" w:lineRule="auto"/>
        <w:jc w:val="both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ruby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A">
      <w:pPr>
        <w:shd w:fill="0a0a23" w:val="clear"/>
        <w:spacing w:line="325.71428571428567" w:lineRule="auto"/>
        <w:jc w:val="both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ffffff"/>
          <w:sz w:val="21"/>
          <w:szCs w:val="21"/>
          <w:rtl w:val="0"/>
        </w:rPr>
        <w:t xml:space="preserve">  明日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rp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rp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rt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Ashita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rt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rp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rp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B">
      <w:pPr>
        <w:shd w:fill="0a0a23" w:val="clear"/>
        <w:spacing w:line="325.71428571428567" w:lineRule="auto"/>
        <w:jc w:val="both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07178"/>
          <w:sz w:val="21"/>
          <w:szCs w:val="21"/>
          <w:rtl w:val="0"/>
        </w:rPr>
        <w:t xml:space="preserve">ruby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C">
      <w:pPr>
        <w:spacing w:line="360" w:lineRule="auto"/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* </w:t>
      </w:r>
      <w:r w:rsidDel="00000000" w:rsidR="00000000" w:rsidRPr="00000000">
        <w:rPr>
          <w:sz w:val="24"/>
          <w:szCs w:val="24"/>
          <w:rtl w:val="0"/>
        </w:rPr>
        <w:t xml:space="preserve">Utilizado para representar texto de linguagens do Leste Asiático. Os elementos apresentados acima significam, respectivamente,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ruby fallback parenthesis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ruby text; </w:t>
      </w:r>
    </w:p>
    <w:p w:rsidR="00000000" w:rsidDel="00000000" w:rsidP="00000000" w:rsidRDefault="00000000" w:rsidRPr="00000000" w14:paraId="0000001D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s Element: </w:t>
      </w:r>
      <w:r w:rsidDel="00000000" w:rsidR="00000000" w:rsidRPr="00000000">
        <w:rPr>
          <w:sz w:val="24"/>
          <w:szCs w:val="24"/>
          <w:rtl w:val="0"/>
        </w:rPr>
        <w:t xml:space="preserve">Corta o conteúdo dentro dele com uma linha, representando texto não mais verdadeiro;1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